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855"/>
        <w:gridCol w:w="2743"/>
        <w:gridCol w:w="2586"/>
      </w:tblGrid>
      <w:tr>
        <w:trPr/>
        <w:tc>
          <w:tcPr>
            <w:tcW w:w="38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529601691</w:t>
            </w:r>
          </w:p>
        </w:tc>
        <w:tc>
          <w:tcPr>
            <w:tcW w:w="27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Systems Analyst 2</w:t>
            </w:r>
          </w:p>
        </w:tc>
        <w:tc>
          <w:tcPr>
            <w:tcW w:w="258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2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Systems Analyst 2</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Systems Analyst 2,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Understands business objectives and problems, identifies alternative solutions, performs studies and cost/benefit analysis of alternatives. Analyzes user requirements, procedures, and problems to automate processing or to improve existing computer system: Confers with personnel of organizational units involved to analyze current operational procedures, identify problems, and learn specific input and output requirements, such as forms of data input, how data is to be; summarized, and formats for reports. Writes detailed description of user needs, program functions, and steps required to develop or modify computer program. Reviews computer system capabilities, specifications, and scheduling limitations to determine if requested program or program change is possible within existing system.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Skilled QA Engineer / Automation Tester with deep expertise in Selenium-based functional automation testing. This role requires a strong foundation in core testing principles, hands-on automation framework development, and the ability to ensure high-quality software delivery through structured, scalable, and reliable test solutions.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Key Responsibilities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Design, develop, and maintain robust automated test scripts using Selenium.</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Build and enhance automation frameworks (data-driven, hybrid, or BDD).</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Perform functional, regression, integration, and system testing.</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Analyze business requirements and create comprehensive test scenarios and test cases.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Collaborate with developers, product owners, and architects to clarify requirements.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Participate in Agile ceremonies (sprint planning, grooming, retrospectives).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Perform API testing (manual and automated).</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Conduct defect tracking, root cause analysis, and impact assessment.</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Ensure CI/CD pipeline integration of automation suites.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Provide test coverage analysis and quality metrics reporting.</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657"/>
        <w:gridCol w:w="6662"/>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Quality Assurance and testing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hands-on expertise in Selenium WebDriver and other automation tools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Java (preferred) or C#/Python for automation scripting.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building and maintaining automation frameworks from scratch.</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understanding of functional testing principles.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TestNG / JUnit / NUnit, Maven / Gradle, Git</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integrating automation with CI/CD tools (Jenkins, Azure DevOps, GitHub Actions).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API testing tools (Postman, RestAssured, etc.).</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SQL knowledge for backend validation.</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in Agile/Scrum environments.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understanding of: Test planning and strategy, Test case design techniques (boundary value, equivalence partitioning), Regression strategy, Risk-based testing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independently own testing for a feature/module.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defect lifecycle management 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think from an end-user perspective.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BDD frameworks (Cucumber, SpecFlow).</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Selenium Grid / parallel execution.</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testing cloud-based applications (Azure/AWS).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performance testing tools (JMeter).</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containerization (Docker).</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Exposure to DevOps practices and shift-left testing.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microservices architecture testing.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5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6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Knowledge of security testing basics.</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06/01/2026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780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4601 W Guadalupe St, Austin, Texas 78751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 xml:space="preserve">TERM OF SERVICE </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 xml:space="preserve">Services are expected to start on or around June 1, 2026, and are expected to be completed by August 31, 2026. Total estimated hours per candidate shall not exceed 780 hours for FY26. </w:t>
      </w:r>
    </w:p>
    <w:p>
      <w:pPr>
        <w:pStyle w:val="Heading2"/>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WORK HOURS AND LOCATION</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 xml:space="preserve">A) Services shall be provided during normal business hours unless otherwise coordinated through the Agency. Normal business hours are Monday through Friday from 8:00 a.m. through 5:00 p.m., excluding Texas state holidays when the agency is closed. </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B) The primary work location will be 4601 W Guadalupe St, Austin, Texas 78751.</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 xml:space="preserve">Position will be 3 days remote with 2 days (Mon &amp; Thurs) required to be onsite at the location listed above. </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Program will only allow candidates who are LOCAL TO THE AUSTIN AREA ONLY (Within 50-mile radius). **Subject to change per the hiring team**</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 xml:space="preserve">Please do </w:t>
      </w:r>
      <w:r>
        <w:rPr>
          <w:rStyle w:val="Strong"/>
          <w:rFonts w:ascii="Times New Roman" w:hAnsi="Times New Roman" w:cs="Times New Roman" w:eastAsia="Times New Roman"/>
          <w:sz w:val="24"/>
          <w:u w:val="single"/>
        </w:rPr>
        <w:t>not</w:t>
      </w:r>
      <w:r>
        <w:rPr>
          <w:rStyle w:val="Strong"/>
          <w:rFonts w:ascii="Times New Roman" w:hAnsi="Times New Roman" w:cs="Times New Roman" w:eastAsia="Times New Roman"/>
          <w:sz w:val="24"/>
        </w:rPr>
        <w:t xml:space="preserve"> submit candidates who are currently out of state and are planning to move to Texas. Candidates must </w:t>
      </w:r>
      <w:r>
        <w:rPr>
          <w:rStyle w:val="Strong"/>
          <w:rFonts w:ascii="Times New Roman" w:hAnsi="Times New Roman" w:cs="Times New Roman" w:eastAsia="Times New Roman"/>
          <w:sz w:val="24"/>
          <w:u w:val="single"/>
        </w:rPr>
        <w:t>already</w:t>
      </w:r>
      <w:r>
        <w:rPr>
          <w:rStyle w:val="Strong"/>
          <w:rFonts w:ascii="Times New Roman" w:hAnsi="Times New Roman" w:cs="Times New Roman" w:eastAsia="Times New Roman"/>
          <w:sz w:val="24"/>
        </w:rPr>
        <w:t xml:space="preserve"> reside in Texas.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C) Any and all travel, per diem, parking, and/or living expenses shall be at the worker’s and/or Vendor’s expense.</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D) The worker may be required to work remotely at HHSC discretion, up to 100 percent of the time.</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529601691</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Systems Analyst 2</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56"/>
        <w:gridCol w:w="5328"/>
      </w:tblGrid>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529601691</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Systems Analyst 2 </w:t>
            </w:r>
          </w:p>
        </w:tc>
      </w:tr>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Quality Assurance and testing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hands-on expertise in Selenium WebDriver and other automation tools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Java (preferred) or C#/Python for automation scripting.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building and maintaining automation frameworks from scratch.</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understanding of functional testing principles.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TestNG / JUnit / NUnit, Maven / Gradle, Git</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integrating automation with CI/CD tools (Jenkins, Azure DevOps, GitHub Actions).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API testing tools (Postman, RestAssured, etc.).</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SQL knowledge for backend validation.</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working in Agile/Scrum environments.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understanding of: Test planning and strategy, Test case design techniques (boundary value, equivalence partitioning), Regression strategy, Risk-based testing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independently own testing for a feature/module.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Strong defect lifecycle management 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6</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Ability to think from an end-user perspective.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BDD frameworks (Cucumber, SpecFlow).</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Selenium Grid / parallel execution.</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testing cloud-based applications (Azure/AWS).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performance testing tools (JMeter).</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containerization (Docker).</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Exposure to DevOps practices and shift-left testing.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microservices architecture testing.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Knowledge of security testing basics.</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09"/>
        <w:gridCol w:w="4775"/>
      </w:tblGrid>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529601691</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Systems Analyst 2</w:t>
            </w:r>
          </w:p>
        </w:tc>
      </w:tr>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529601691 for Texas Health and Human Services Commission.</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verdana">
    <w:charset w:val="01"/>
    <w:family w:val="auto"/>
    <w:pitch w:val="default"/>
  </w:font>
  <w:font w:name="Verdana">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7">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8">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paragraph" w:styleId="Heading2">
    <w:name w:val="heading 2"/>
    <w:basedOn w:val="Heading"/>
    <w:next w:val="BodyText"/>
    <w:qFormat/>
    <w:pPr>
      <w:spacing w:before="200" w:after="120"/>
      <w:outlineLvl w:val="1"/>
    </w:pPr>
    <w:rPr>
      <w:rFonts w:ascii="Times New Roman" w:hAnsi="Times New Roman" w:eastAsia="Times New Roman" w:cs="Times New Roman"/>
      <w:b/>
      <w:bCs/>
      <w:sz w:val="36"/>
      <w:szCs w:val="36"/>
    </w:rPr>
  </w:style>
  <w:style w:type="character" w:styleId="Strong">
    <w:name w:val="Strong"/>
    <w:qFormat/>
    <w:rPr>
      <w:rFonts w:ascii="Times New Roman" w:hAnsi="Times New Roman" w:cs="Times New Roman" w:eastAsia="Times New Roman"/>
      <w:b/>
      <w:bCs/>
    </w:rPr>
  </w:style>
  <w:style w:type="character" w:styleId="Bullets">
    <w:name w:val="Bullets"/>
    <w:qFormat/>
    <w:rPr>
      <w:rFonts w:ascii="Times New Roman" w:hAnsi="Times New Roman" w:eastAsia="Times New Roman" w:cs="Times New Roman"/>
    </w:rPr>
  </w:style>
  <w:style w:type="character" w:styleId="Emphasis">
    <w:name w:val="Emphasis"/>
    <w:qFormat/>
    <w:rPr>
      <w:rFonts w:ascii="Times New Roman" w:hAnsi="Times New Roman" w:cs="Times New Roman" w:eastAsia="Times New Roman"/>
      <w:i/>
      <w:iCs/>
    </w:rPr>
  </w:style>
  <w:style w:type="character" w:styleId="Hyperlink">
    <w:name w:val="Hyperlink"/>
    <w:rPr>
      <w:rFonts w:ascii="Times New Roman" w:hAnsi="Times New Roman" w:cs="Times New Roman" w:eastAsia="Times New Roman"/>
      <w:color w:val="000080"/>
      <w:u w:val="single"/>
    </w:rPr>
  </w:style>
  <w:style w:type="character" w:styleId="NumberingSymbols">
    <w:name w:val="Numbering Symbols"/>
    <w:qFormat/>
    <w:rPr>
      <w:rFonts w:ascii="Times New Roman" w:hAnsi="Times New Roman" w:cs="Times New Roman" w:eastAsia="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hs.texas.gov/sites/default/files/documents/laws-regulations/forms/3834/3834.pdf" TargetMode="External"/><Relationship Id="rId3" Type="http://schemas.openxmlformats.org/officeDocument/2006/relationships/hyperlink" Target="https://hhs.texas.gov/sites/default/files/documents/doing-business-with-hhs/providers/long-term-care/nf/data-use-agreement.pdf" TargetMode="External"/><Relationship Id="rId4" Type="http://schemas.openxmlformats.org/officeDocument/2006/relationships/hyperlink" Target="http://www2.cpa.state.tx.us/cmbl/cmblhub.html" TargetMode="External"/><Relationship Id="rId5" Type="http://schemas.openxmlformats.org/officeDocument/2006/relationships/hyperlink" Target="https://comptroller.texas.gov/purchasing/vendor/hub" TargetMode="External"/><Relationship Id="rId6" Type="http://schemas.openxmlformats.org/officeDocument/2006/relationships/hyperlink" Target="mailto:ITSAC%20Staff%20Augmentation" TargetMode="External"/><Relationship Id="rId7" Type="http://schemas.openxmlformats.org/officeDocument/2006/relationships/hyperlink" Target="https://dir.texas.gov/"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