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NotoSansSymbols-bold.ttf" ContentType="application/x-font-ttf"/>
  <Override PartName="/word/fonts/NotoSansSymbols-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IT STAFFING SERVICES SOLICITATION UNDER</w:t>
        <w:br w:type="textWrapping"/>
        <w:t xml:space="preserve">DEPARTMENT OF INFORMATION RESOURCES</w:t>
        <w:br w:type="textWrapping"/>
        <w:t xml:space="preserve">IT STAFF AUGMENTATION CONTRACT (ITSAC)</w:t>
        <w:br w:type="textWrapping"/>
        <w:t xml:space="preserve">RFO DIR-CPO-TMP-445</w:t>
      </w: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tbl>
      <w:tblPr>
        <w:tblStyle w:val="Table1"/>
        <w:tblW w:w="9322.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3201"/>
        <w:gridCol w:w="3332"/>
        <w:gridCol w:w="2789"/>
        <w:tblGridChange w:id="0">
          <w:tblGrid>
            <w:gridCol w:w="3201"/>
            <w:gridCol w:w="3332"/>
            <w:gridCol w:w="2789"/>
          </w:tblGrid>
        </w:tblGridChange>
      </w:tblGrid>
      <w:tr>
        <w:trPr>
          <w:cantSplit w:val="0"/>
          <w:trHeight w:val="1029" w:hRule="atLeast"/>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3">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Solicitation Reference Number: 455-26-28424</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4">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Working Title: Senior Systems Analyst </w:t>
            </w:r>
          </w:p>
          <w:p w:rsidR="00000000" w:rsidDel="00000000" w:rsidP="00000000" w:rsidRDefault="00000000" w:rsidRPr="00000000" w14:paraId="00000005">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6">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Title/Level: </w:t>
            </w:r>
          </w:p>
          <w:p w:rsidR="00000000" w:rsidDel="00000000" w:rsidP="00000000" w:rsidRDefault="00000000" w:rsidRPr="00000000" w14:paraId="00000007">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 Software Engineer, Level 2</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8">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Category: </w:t>
            </w:r>
          </w:p>
          <w:p w:rsidR="00000000" w:rsidDel="00000000" w:rsidP="00000000" w:rsidRDefault="00000000" w:rsidRPr="00000000" w14:paraId="00000009">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Applications/Software Development</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A">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t xml:space="preserve"> or Part Time? </w:t>
            </w:r>
          </w:p>
          <w:p w:rsidR="00000000" w:rsidDel="00000000" w:rsidP="00000000" w:rsidRDefault="00000000" w:rsidRPr="00000000" w14:paraId="0000000B">
            <w:pPr>
              <w:rPr>
                <w:rFonts w:ascii="Times New Roman" w:hAnsi="Times New Roman" w:cs="Times New Roman" w:eastAsia="Times New Roman"/>
                <w:sz w:val="24"/>
                <w:szCs w:val="24"/>
              </w:rPr>
            </w:pPr>
            <w:r w:rsidDel="00000000" w:rsidR="00000000" w:rsidRPr="00000000">
              <w:rPr>
                <w:rFonts w:ascii="Times New Roman" w:hAnsi="Times New Roman" w:cs="Times New Roman" w:eastAsia="Times New Roman"/>
                <w:sz w:val="24"/>
                <w:szCs w:val="24"/>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0C">
            <w:pPr>
              <w:rPr>
                <w:rFonts w:ascii="Times New Roman" w:hAnsi="Times New Roman" w:cs="Times New Roman" w:eastAsia="Times New Roman"/>
                <w:sz w:val="24"/>
                <w:szCs w:val="24"/>
              </w:rPr>
            </w:pPr>
            <w:r>
              <w:rPr>
                <w:rFonts w:ascii="Times New Roman" w:hAnsi="Times New Roman" w:cs="Times New Roman" w:eastAsia="Times New Roman"/>
              </w:rPr>
            </w:r>
          </w:p>
          <w:p w:rsidR="00000000" w:rsidDel="00000000" w:rsidP="00000000" w:rsidRDefault="00000000" w:rsidRPr="00000000" w14:paraId="0000000D">
            <w:pPr>
              <w:rPr>
                <w:rFonts w:ascii="Times New Roman" w:hAnsi="Times New Roman" w:cs="Times New Roman" w:eastAsia="Times New Roman"/>
                <w:sz w:val="24"/>
                <w:szCs w:val="24"/>
              </w:rPr>
            </w:pPr>
            <w:r>
              <w:rPr>
                <w:rFonts w:ascii="Times New Roman" w:hAnsi="Times New Roman" w:cs="Times New Roman" w:eastAsia="Times New Roman"/>
              </w:rPr>
            </w:r>
          </w:p>
        </w:tc>
      </w:tr>
    </w:tbl>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0F">
      <w:pPr>
        <w:numPr>
          <w:ilvl w:val="0"/>
          <w:numId w:val="1"/>
        </w:numPr>
        <w:ind w:left="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DESCRIPTION OF SERVICES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12">
      <w:pPr>
        <w:spacing w:line="278.00000000000006"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bCs w:val="1"/>
          <w:sz w:val="24"/>
          <w:szCs w:val="24"/>
          <w:rtl w:val="0"/>
        </w:rPr>
        <w:t xml:space="preserve">Railroad Commission of Texas</w:t>
      </w:r>
      <w:r w:rsidDel="00000000" w:rsidR="00000000" w:rsidRPr="00000000">
        <w:rPr>
          <w:rFonts w:ascii="Times New Roman" w:cs="Times New Roman" w:eastAsia="Times New Roman" w:hAnsi="Times New Roman"/>
          <w:sz w:val="24"/>
          <w:szCs w:val="24"/>
          <w:rtl w:val="0"/>
        </w:rPr>
        <w:t xml:space="preserve"> requires the services of one (1) Software Engineer with strong data engineering and data governance expertise, specializing in Informatica Data Governance and Snowflake. This role focuses on building scalable data solutions, implementing governance frameworks, and ensuring high-quality, trusted data across the organization.</w:t>
      </w:r>
    </w:p>
    <w:p w:rsidR="00000000" w:rsidDel="00000000" w:rsidP="00000000" w:rsidRDefault="00000000" w:rsidRPr="00000000" w14:paraId="00000013">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work products resulting from the project shall be considered "works made for hire" and are the property of the Railroad Commission of Texas. Background checks may apply as authorized by Texas law. RRC will pay no fees for interviews or discussions during Candidate selection.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15">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Job Description</w:t>
      </w:r>
      <w:r w:rsidDel="00000000" w:rsidR="00000000" w:rsidRPr="00000000">
        <w:rPr>
          <w:rFonts w:ascii="Times New Roman" w:cs="Times New Roman" w:eastAsia="Times New Roman" w:hAnsi="Times New Roman"/>
          <w:sz w:val="24"/>
          <w:szCs w:val="24"/>
          <w:rtl w:val="0"/>
        </w:rPr>
        <w:br w:type="textWrapping"/>
        <w:t xml:space="preserve"> Responsible for implementing and maintaining Informatica Data Governance solutions including metadata management, data quality rules, lineage, and stewardship workflows while partnering with data stewards, analysts, and business teams to define and enforce governance standards. Develops automated data ingestion, transformation, and validation processes and integrates Snowflake with Informatica and other Cloud platforms. Monitors data quality, performance, and reliability across pipelines, contributes to architectural decisions and best‑practice documentation, and resolves data issues to ensure accuracy, consistency, and security. Provides technical guidance and recommendations related to report development.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Essential Job Duties</w:t>
      </w: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18">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Strong experience with Informatica Data Governance tools (e.g., Axon, EDC, IDQ).</w:t>
      </w:r>
    </w:p>
    <w:p w:rsidR="00000000" w:rsidDel="00000000" w:rsidP="00000000" w:rsidRDefault="00000000" w:rsidRPr="00000000" w14:paraId="00000019">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 of data cataloging and enterprise data governance frameworks.</w:t>
      </w:r>
    </w:p>
    <w:p w:rsidR="00000000" w:rsidDel="00000000" w:rsidP="00000000" w:rsidRDefault="00000000" w:rsidRPr="00000000" w14:paraId="0000001A">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Background in building scalable and distributed data systems.</w:t>
      </w:r>
    </w:p>
    <w:p w:rsidR="00000000" w:rsidDel="00000000" w:rsidP="00000000" w:rsidRDefault="00000000" w:rsidRPr="00000000" w14:paraId="0000001B">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 of data modeling, metadata management, and data lineage.</w:t>
      </w:r>
    </w:p>
    <w:p w:rsidR="00000000" w:rsidDel="00000000" w:rsidP="00000000" w:rsidRDefault="00000000" w:rsidRPr="00000000" w14:paraId="0000001C">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with API integrations and workflow automation.</w:t>
      </w:r>
    </w:p>
    <w:p w:rsidR="00000000" w:rsidDel="00000000" w:rsidP="00000000" w:rsidRDefault="00000000" w:rsidRPr="00000000" w14:paraId="0000001D">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Hands-on experience with Snowflake (SQL, Snowflake architecture, performance tuning, ELT).</w:t>
      </w:r>
    </w:p>
    <w:p w:rsidR="00000000" w:rsidDel="00000000" w:rsidP="00000000" w:rsidRDefault="00000000" w:rsidRPr="00000000" w14:paraId="0000001E">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Familiarity with CI/CD, Git, and modern DevOps practices.</w:t>
      </w:r>
    </w:p>
    <w:p w:rsidR="00000000" w:rsidDel="00000000" w:rsidP="00000000" w:rsidRDefault="00000000" w:rsidRPr="00000000" w14:paraId="0000001F">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Define data transformation rules, metadata, and data lineage documentation.</w:t>
      </w:r>
    </w:p>
    <w:p w:rsidR="00000000" w:rsidDel="00000000" w:rsidP="00000000" w:rsidRDefault="00000000" w:rsidRPr="00000000" w14:paraId="00000020">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Ensure reporting and extract requirements align with enterprise data governance standards.</w:t>
      </w:r>
    </w:p>
    <w:p w:rsidR="00000000" w:rsidDel="00000000" w:rsidP="00000000" w:rsidRDefault="00000000" w:rsidRPr="00000000" w14:paraId="00000021">
      <w:pPr>
        <w:numPr>
          <w:ilvl w:val="0"/>
          <w:numId w:val="2"/>
        </w:numPr>
        <w:ind w:left="10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Troubleshoot defects and work with technical teams to resolve issues.</w:t>
      </w:r>
    </w:p>
    <w:p w:rsidR="00000000" w:rsidDel="00000000" w:rsidP="00000000" w:rsidRDefault="00000000" w:rsidRPr="00000000" w14:paraId="00000022">
      <w:pPr>
        <w:ind w:left="1020" w:firstLine="0"/>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II. CANDIDATE SKILLS AND QUALIFICATIONS</w:t>
      </w: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tbl>
      <w:tblPr>
        <w:tblStyle w:val="Table2"/>
        <w:tblW w:w="9809.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773"/>
        <w:gridCol w:w="2106"/>
        <w:gridCol w:w="6481"/>
        <w:tblGridChange w:id="0">
          <w:tblGrid>
            <w:gridCol w:w="810"/>
            <w:gridCol w:w="2207"/>
            <w:gridCol w:w="6792"/>
          </w:tblGrid>
        </w:tblGridChange>
      </w:tblGrid>
      <w:tr>
        <w:trPr>
          <w:cantSplit w:val="0"/>
          <w:tblHeader w:val="0"/>
        </w:trPr>
        <w:tc>
          <w:tcPr>
            <w:gridSpan w:val="3"/>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Minimum Requirements:</w:t>
            </w:r>
            <w:r w:rsidDel="00000000" w:rsidR="00000000" w:rsidRPr="00000000">
              <w:rPr>
                <w:rFonts w:ascii="Times New Roman" w:cs="Times New Roman" w:eastAsia="Times New Roman" w:hAnsi="Times New Roman"/>
                <w:sz w:val="24"/>
                <w:szCs w:val="24"/>
                <w:rtl w:val="0"/>
              </w:rPr>
              <w:br w:type="textWrapping"/>
              <w:t xml:space="preserve">Candidates that do not meet or exceed the </w:t>
            </w:r>
            <w:r w:rsidDel="00000000" w:rsidR="00000000" w:rsidRPr="00000000">
              <w:rPr>
                <w:rFonts w:ascii="Times New Roman" w:cs="Times New Roman" w:eastAsia="Times New Roman" w:hAnsi="Times New Roman"/>
                <w:b w:val="1"/>
                <w:bCs w:val="1"/>
                <w:sz w:val="24"/>
                <w:szCs w:val="24"/>
                <w:rtl w:val="0"/>
              </w:rPr>
              <w:t xml:space="preserve">minimum</w:t>
            </w:r>
            <w:r w:rsidDel="00000000" w:rsidR="00000000" w:rsidRPr="00000000">
              <w:rPr>
                <w:rFonts w:ascii="Times New Roman" w:cs="Times New Roman" w:eastAsia="Times New Roman" w:hAnsi="Times New Roman"/>
                <w:sz w:val="24"/>
                <w:szCs w:val="24"/>
                <w:rtl w:val="0"/>
              </w:rPr>
              <w:t xml:space="preserve"> stated requirements (skills/experience) will be displayed to customers but may not be chosen for this opportunity.</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9">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Years</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A">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Required/Preferred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B">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Experience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Strong experience with Informatica Data Governance tools (e.g., Axon, EDC, IDQ).</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with Informatica Cloud (IICS).</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4">
            <w:pPr>
              <w:spacing w:after="160" w:line="278.0000000000000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with API integrations and workflow automation.</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Skill with Microsoft Office tools, particularly with Word, Excel, PowerPoint, Visio, and SharePoint</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Understanding of cloud data platforms (Azure, AWS, Databricks, Snowflake, or similar).</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 of data modeling, metadata management, and data lineage.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Knowledge of enterprise information management processes and methodologies, relational database management systems, and metadata management</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Knowledge of local, state, and federal laws and regulations (PII) relevant to data management and data governance</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in working in fast-paced and ever-changing environments; achieving project’s deliverables and deadlines; exercising sound judgment in making critical decisions; analyzing complex information and developing plans to address identified issues.  </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Skill in interpersonal relationships, including the ability to work with people under pressure, negotiate among multiple parties, resolve conflicts, and establish and maintain effective working relationships with various levels of personnel.</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in data focused projects, like moving from Legacy to </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newer systems.</w:t>
            </w:r>
          </w:p>
        </w:tc>
      </w:tr>
      <w:tr>
        <w:trPr>
          <w:cantSplit w:val="0"/>
          <w:tblHeader w:val="0"/>
        </w:trPr>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Graduation from an accredited four-year college or university with major coursework in data processing, computer science, business.</w:t>
            </w:r>
          </w:p>
        </w:tc>
      </w:tr>
    </w:tbl>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III. TERMS OF SERVICE</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Services are expected to start </w:t>
      </w:r>
      <w:r w:rsidDel="00000000" w:rsidR="00000000" w:rsidRPr="00000000">
        <w:rPr>
          <w:rFonts w:ascii="Times New Roman" w:cs="Times New Roman" w:eastAsia="Times New Roman" w:hAnsi="Times New Roman"/>
          <w:b w:val="1"/>
          <w:bCs w:val="1"/>
          <w:sz w:val="24"/>
          <w:szCs w:val="24"/>
          <w:rtl w:val="0"/>
        </w:rPr>
        <w:t xml:space="preserve">4/01/2026</w:t>
      </w:r>
      <w:r w:rsidDel="00000000" w:rsidR="00000000" w:rsidRPr="00000000">
        <w:rPr>
          <w:rFonts w:ascii="Times New Roman" w:cs="Times New Roman" w:eastAsia="Times New Roman" w:hAnsi="Times New Roman"/>
          <w:sz w:val="24"/>
          <w:szCs w:val="24"/>
          <w:rtl w:val="0"/>
        </w:rPr>
        <w:t xml:space="preserve"> and are expected to complete by </w:t>
      </w:r>
      <w:r w:rsidDel="00000000" w:rsidR="00000000" w:rsidRPr="00000000">
        <w:rPr>
          <w:rFonts w:ascii="Times New Roman" w:cs="Times New Roman" w:eastAsia="Times New Roman" w:hAnsi="Times New Roman"/>
          <w:b w:val="1"/>
          <w:bCs w:val="1"/>
          <w:sz w:val="24"/>
          <w:szCs w:val="24"/>
          <w:rtl w:val="0"/>
        </w:rPr>
        <w:t xml:space="preserve">8/31/2026</w:t>
      </w:r>
      <w:r w:rsidDel="00000000" w:rsidR="00000000" w:rsidRPr="00000000">
        <w:rPr>
          <w:rFonts w:ascii="Times New Roman" w:cs="Times New Roman" w:eastAsia="Times New Roman" w:hAnsi="Times New Roman"/>
          <w:sz w:val="24"/>
          <w:szCs w:val="24"/>
          <w:rtl w:val="0"/>
        </w:rPr>
        <w:t xml:space="preserve">. Total estimated hours per Candidate shall not exceed </w:t>
      </w:r>
      <w:r w:rsidDel="00000000" w:rsidR="00000000" w:rsidRPr="00000000">
        <w:rPr>
          <w:rFonts w:ascii="Times New Roman" w:cs="Times New Roman" w:eastAsia="Times New Roman" w:hAnsi="Times New Roman"/>
          <w:b w:val="1"/>
          <w:bCs w:val="1"/>
          <w:sz w:val="24"/>
          <w:szCs w:val="24"/>
          <w:rtl w:val="0"/>
        </w:rPr>
        <w:t xml:space="preserve">800</w:t>
      </w:r>
      <w:r w:rsidDel="00000000" w:rsidR="00000000" w:rsidRPr="00000000">
        <w:rPr>
          <w:rFonts w:ascii="Times New Roman" w:cs="Times New Roman" w:eastAsia="Times New Roman" w:hAnsi="Times New Roman"/>
          <w:sz w:val="24"/>
          <w:szCs w:val="24"/>
          <w:rtl w:val="0"/>
        </w:rPr>
        <w:t xml:space="preserve"> hours. This service may be amended, renewed, and/or extended providing both parties agree to do so in writing, which will be determined in July or August of 2026 based on RRC funding availability for the next fiscal year.</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IV. WORK HOURS AND LOCATION</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Services shall be provided during normal business hours unless otherwise coordinated through the Railroad Commission of Texas. Normal business hours are Monday through Friday from 8:00 AM to 5:00 PM, excluding State holidays when the agency is closed. A consistent work schedule will be determined with input from selected candidates based on workload and assignments.</w:t>
        <w:br w:type="textWrapping"/>
        <w:br w:type="textWrapping"/>
        <w:t xml:space="preserve">The primary work location(s) will be Work from Home. All travel, per diem, parking, and/or living expenses shall be at the Candidate's and/or Vendor's expense. Railroad Commission of Texas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type="textWrapping"/>
        <w:br w:type="textWrapping"/>
        <w:t xml:space="preserve">The Candidate(s) may be required to work outside the normal business hours on weekends, evenings and holidays, as requested. Payment for work over 40 hours will be at the hourly rate quoted and must be coordinated and pre-approved through Railroad Commission of Texas.</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V.  OTHER SPECIAL REQUIREMENTS</w:t>
      </w:r>
      <w:r w:rsidDel="00000000" w:rsidR="00000000" w:rsidRPr="00000000">
        <w:rPr>
          <w:rFonts w:ascii="Times New Roman" w:hAnsi="Times New Roman" w:cs="Times New Roman" w:eastAsia="Times New Roman"/>
          <w:rtl w:val="0"/>
        </w:rPr>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candidate or vendor should provide a desktop or laptop device for the candidate to connect work with RRC via GoToMyPC (or similar) and must have a device capable of handling this connection, including a headset as needed. Alternately, the RRC may provide a desktop or laptop device for connection to the RRC network in certain situations. The laptop must be returned to the RRC Help Desk upon candidate resignation or termination or the end of the purchase order/contract.</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Shipping information: Railroad Commission of Texas</w:t>
      </w:r>
    </w:p>
    <w:p w:rsidR="00000000" w:rsidDel="00000000" w:rsidP="00000000" w:rsidRDefault="00000000" w:rsidRPr="00000000" w14:paraId="0000005C">
      <w:pPr>
        <w:ind w:left="21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1701 North Congress Avenue</w:t>
      </w:r>
    </w:p>
    <w:p w:rsidR="00000000" w:rsidDel="00000000" w:rsidP="00000000" w:rsidRDefault="00000000" w:rsidRPr="00000000" w14:paraId="0000005D">
      <w:pPr>
        <w:ind w:left="2760" w:firstLine="1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Austin, Texas 78711-2967  </w:t>
      </w:r>
    </w:p>
    <w:p w:rsidR="00000000" w:rsidDel="00000000" w:rsidP="00000000" w:rsidRDefault="00000000" w:rsidRPr="00000000" w14:paraId="0000005E">
      <w:pPr>
        <w:ind w:left="21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Attn: ITS Help Desk</w:t>
      </w:r>
    </w:p>
    <w:sectPr>
      <w:headerReference r:id="rId7" w:type="default"/>
      <w:footerReference r:id="rId8"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pBdr>
        <w:top w:color="2e75b6" w:space="1" w:sz="6" w:val="single"/>
      </w:pBdr>
      <w:spacing w:after="0" w:before="80" w:lineRule="auto"/>
      <w:jc w:val="center"/>
      <w:rPr/>
    </w:pPr>
    <w:r w:rsidDel="00000000" w:rsidR="00000000" w:rsidRPr="00000000">
      <w:rPr>
        <w:rFonts w:ascii="Arial" w:cs="Arial" w:eastAsia="Arial" w:hAnsi="Arial"/>
        <w:color w:val="444444"/>
        <w:sz w:val="16"/>
        <w:szCs w:val="16"/>
        <w:rtl w:val="0"/>
      </w:rPr>
      <w:t xml:space="preserve">600 Congress Ave fl14, Austin TX 78701 | </w:t>
    </w:r>
    <w:hyperlink r:id="rId1">
      <w:r w:rsidDel="00000000" w:rsidR="00000000" w:rsidRPr="00000000">
        <w:rPr>
          <w:color w:val="1155cc"/>
          <w:sz w:val="16"/>
          <w:szCs w:val="16"/>
          <w:u w:val="single"/>
          <w:rtl w:val="0"/>
        </w:rPr>
        <w:t xml:space="preserve">hello@unnanu.ai</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spacing w:after="0" w:before="0" w:lineRule="auto"/>
      <w:rPr/>
    </w:pPr>
    <w:r w:rsidDel="00000000" w:rsidR="00000000" w:rsidRPr="00000000">
      <w:rPr/>
      <w:drawing>
        <wp:anchor allowOverlap="1" behindDoc="1" distB="0" distT="0" distL="0" distR="0" hidden="0" layoutInCell="1" locked="0" relativeHeight="0" simplePos="0">
          <wp:simplePos x="0" y="0"/>
          <wp:positionH relativeFrom="page">
            <wp:posOffset>1791522</wp:posOffset>
          </wp:positionH>
          <wp:positionV relativeFrom="page">
            <wp:posOffset>3064669</wp:posOffset>
          </wp:positionV>
          <wp:extent cx="4190999" cy="3929062"/>
          <wp:effectExtent b="0" l="0" r="0" t="0"/>
          <wp:wrapNone/>
          <wp:docPr id="1"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4190999" cy="3929062"/>
                  </a:xfrm>
                  <a:prstGeom prst="rect"/>
                  <a:ln/>
                </pic:spPr>
              </pic:pic>
            </a:graphicData>
          </a:graphic>
        </wp:anchor>
      </w:drawing>
    </w:r>
    <w:r w:rsidDel="00000000" w:rsidR="00000000" w:rsidRPr="00000000">
      <w:rPr>
        <w:rtl w:val="0"/>
      </w:rPr>
    </w:r>
  </w:p>
  <w:p w:rsidR="00000000" w:rsidDel="00000000" w:rsidP="00000000" w:rsidRDefault="00000000" w:rsidRPr="00000000" w14:paraId="00000073">
    <w:pPr>
      <w:pBdr>
        <w:bottom w:color="2e75b6" w:space="1" w:sz="6" w:val="single"/>
      </w:pBdr>
      <w:spacing w:after="80" w:before="0" w:lineRule="auto"/>
      <w:jc w:val="right"/>
      <w:rPr/>
    </w:pPr>
    <w:r w:rsidDel="00000000" w:rsidR="00000000" w:rsidRPr="00000000">
      <w:rPr/>
      <w:drawing>
        <wp:inline distB="0" distT="0" distL="0" distR="0">
          <wp:extent cx="2200771" cy="433387"/>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2200771" cy="43338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720" w:hanging="72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2">
    <w:lvl w:ilvl="0">
      <w:start w:val="1"/>
      <w:numFmt w:val="bullet"/>
      <w:lvlText w:val="●"/>
      <w:lvlJc w:val="left"/>
      <w:pPr>
        <w:ind w:left="1020" w:hanging="360"/>
      </w:pPr>
      <w:rPr>
        <w:u w:val="none"/>
      </w:rPr>
    </w:lvl>
    <w:lvl w:ilvl="1">
      <w:start w:val="1"/>
      <w:numFmt w:val="bullet"/>
      <w:lvlText w:val="o"/>
      <w:lvlJc w:val="left"/>
      <w:pPr>
        <w:ind w:left="1740" w:hanging="360"/>
      </w:pPr>
      <w:rPr>
        <w:u w:val="none"/>
      </w:rPr>
    </w:lvl>
    <w:lvl w:ilvl="2">
      <w:start w:val="1"/>
      <w:numFmt w:val="bullet"/>
      <w:lvlText w:val="▪"/>
      <w:lvlJc w:val="left"/>
      <w:pPr>
        <w:ind w:left="2460" w:hanging="360"/>
      </w:pPr>
      <w:rPr>
        <w:u w:val="none"/>
      </w:rPr>
    </w:lvl>
    <w:lvl w:ilvl="3">
      <w:start w:val="1"/>
      <w:numFmt w:val="bullet"/>
      <w:lvlText w:val="●"/>
      <w:lvlJc w:val="left"/>
      <w:pPr>
        <w:ind w:left="3180" w:hanging="360"/>
      </w:pPr>
      <w:rPr>
        <w:u w:val="none"/>
      </w:rPr>
    </w:lvl>
    <w:lvl w:ilvl="4">
      <w:start w:val="1"/>
      <w:numFmt w:val="bullet"/>
      <w:lvlText w:val="o"/>
      <w:lvlJc w:val="left"/>
      <w:pPr>
        <w:ind w:left="3900" w:hanging="360"/>
      </w:pPr>
      <w:rPr>
        <w:u w:val="none"/>
      </w:rPr>
    </w:lvl>
    <w:lvl w:ilvl="5">
      <w:start w:val="1"/>
      <w:numFmt w:val="bullet"/>
      <w:lvlText w:val="▪"/>
      <w:lvlJc w:val="left"/>
      <w:pPr>
        <w:ind w:left="4620" w:hanging="360"/>
      </w:pPr>
      <w:rPr>
        <w:u w:val="none"/>
      </w:rPr>
    </w:lvl>
    <w:lvl w:ilvl="6">
      <w:start w:val="1"/>
      <w:numFmt w:val="bullet"/>
      <w:lvlText w:val="●"/>
      <w:lvlJc w:val="left"/>
      <w:pPr>
        <w:ind w:left="5340" w:hanging="360"/>
      </w:pPr>
      <w:rPr>
        <w:u w:val="none"/>
      </w:rPr>
    </w:lvl>
    <w:lvl w:ilvl="7">
      <w:start w:val="1"/>
      <w:numFmt w:val="bullet"/>
      <w:lvlText w:val="o"/>
      <w:lvlJc w:val="left"/>
      <w:pPr>
        <w:ind w:left="6060" w:hanging="360"/>
      </w:pPr>
      <w:rPr>
        <w:u w:val="none"/>
      </w:rPr>
    </w:lvl>
    <w:lvl w:ilvl="8">
      <w:start w:val="1"/>
      <w:numFmt w:val="bullet"/>
      <w:lvlText w:val="▪"/>
      <w:lvlJc w:val="left"/>
      <w:pPr>
        <w:ind w:left="67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Times New Roman" w:cs="Times New Roman" w:eastAsia="Times New Roman" w:hAnsi="Times New Roman"/>
      <w:i w:val="1"/>
      <w:iCs w:val="1"/>
      <w:color w:val="666666"/>
      <w:sz w:val="48"/>
      <w:szCs w:val="48"/>
    </w:rPr>
  </w:style>
  <w:style w:type="table" w:styleId="Table1">
    <w:basedOn w:val="TableNormal"/>
    <w:tblPr>
      <w:tblStyleRowBandSize w:val="1"/>
      <w:tblStyleColBandSize w:val="1"/>
      <w:tblCellMar>
        <w:top w:w="75.0" w:type="dxa"/>
        <w:left w:w="75.0" w:type="dxa"/>
        <w:bottom w:w="75.0" w:type="dxa"/>
        <w:right w:w="75.0" w:type="dxa"/>
      </w:tblCellMar>
    </w:tblPr>
  </w:style>
  <w:style w:type="table" w:styleId="Table2">
    <w:basedOn w:val="TableNormal"/>
    <w:tblPr>
      <w:tblStyleRowBandSize w:val="1"/>
      <w:tblStyleColBandSize w:val="1"/>
      <w:tblCellMar>
        <w:top w:w="75.0" w:type="dxa"/>
        <w:left w:w="75.0" w:type="dxa"/>
        <w:bottom w:w="75.0" w:type="dxa"/>
        <w:right w:w="7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valeriw.wilcox@rrc.texas.gov"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hello@unnanu.a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