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55"/>
        <w:gridCol w:w="2743"/>
        <w:gridCol w:w="2586"/>
      </w:tblGrid>
      <w:tr>
        <w:trPr/>
        <w:tc>
          <w:tcPr>
            <w:tcW w:w="38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529701725</w:t>
            </w:r>
          </w:p>
        </w:tc>
        <w:tc>
          <w:tcPr>
            <w:tcW w:w="27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Systems Analyst 3</w:t>
            </w:r>
          </w:p>
        </w:tc>
        <w:tc>
          <w:tcPr>
            <w:tcW w:w="25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Systems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Systems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Understands business objectives and problems, identifies alternative solutions, performs studies and cost/benefit analysis of alternatives. Analyzes user requirements, procedures, and problems to automate processing or to improve existing computer system: Confers with personnel of organizational units involved to analyze current operational procedures, identify problems, and learn specific input and output requirements, such as forms of data input, how data is to be; summarized, and formats for reports. Writes detailed description of user needs, program functions, and steps required to develop or modify computer program. Reviews computer system capabilities, specifications, and scheduling limitations to determine if requested program or program change is possible within existing system.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The Department of Information Resources (DIR) requires the services of a Data Engineer hereafter referred to as Worker, who meets the general qualification of Systems Analyst 3, Emerging Technologies and the specifications outlined in this document for Health and Human Services Commission (HHSC) Information Technology.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All work products resulting from the project shall be considered “works made for hire” and are the property of the HHSC. HHSC may include pre-selection requirements that potential Vendors (and their Workers) submit to and satisfy criminal background checks as authorized by the Texas law. HHSC will pay no fees for interviews or discussions, which occur during the process of selecting a Worker(s).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HHSC IT is continuing to develop an HHS data integration hub in the Performance Management &amp; Analytics System (PMAS) with a goal to accomplish the following: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Implementation and configuration of the infrastructure for the data integration hub</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Design, development, and implementation (DD&amp;I) of the data integration hub using an agile methodology for all standard SDLC phases that includes, but is not limited to: </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Validation of performance metric requirements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Creation of Epics/User Stories/Tasks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Automation of data acquisition from a variety of data sources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Development of complex SQL scripts </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Testing – integration, load and stress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Deployment / publication internally and externally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Operations support and enhancement of the data integration hub</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This development effort will utilize an agile methodology based upon the approach currently in use at HHSC for the Performance Management &amp; Analytics System (PMAS).  </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As a member of the agile development team, the worker responsibilities may include: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Data acquisition from a variety of data sources for multiple uses.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Developing complex SQL scripts to transform the source data to fit into a dimensional model, then to create views and materialized views in Oracle.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Developing automation with Informatica Power Center/IICS to pull data from external data sources and transform it to fit into a dimensional model.</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Collaborating with other members of the Data Engineering Team on the design and implementation of an optimal data design.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Verification and validation of SQL scripts, Informatica automation and database views.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Developing automated means of performing verification and validation.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Participating in all sprint ceremonies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Work closely with the Architects and Data Engineering Team on implementation designs and data acquisition strategies.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Develop mockups and work with customers for validation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Working closely with other members of the team to address technical problems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Assisting with the implementation and configuration of developmental tools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Producing and maintaining technical specifications, diagrams, or other documentation as needed to support the DD&amp;I efforts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Participation in requirements and design sessions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Interpreting new and changing business requirements to determine the impact and proposing enhancements and changes to meet these new requirements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All other duties as assigned.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52"/>
        <w:gridCol w:w="6767"/>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mappings and workflows to automate ETL processes using Informatica Power Center or IICS.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Experiencing acquiring and integrating data from multiple data sources/technologies using Informatica Power Center or IICS for use by a Tableau data visualization object. Data source techs should include Oracle, SQL Server, Excel, Access and Adobe PDF.</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complex Snowflake SQL scripts that are fast and efficient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analytical and problem-solving skills with experience as a system analyst for a data analytics, performance management system, or data warehousing project.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Technical writing and diagraming skills, including proficiency with modeling and mapping tools (e.g., Visio, Erwin), and the Microsoft Office Suite (Word, Excel, and PowerPoint) and MS Project.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planning and delivering software platforms used across multiple products and organizational units.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Proven ability to write well designed, testable, efficient code by using best software development practices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Excellent oral and written communication skills.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Effectively manage multiple responsibilities, prioritize conflicting assignments, and switch quickly between assignments, as required.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on an agile sprint team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Understanding of security principles and how they apply to healthcare data</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state of the art software components for a performance metrics data visualization or business intelligence environment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Bachelor’s degree in Computer Science, Information Systems, or Business or equivalent 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in the Healthcare Industry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with an HHS agency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working with PII or PHI data</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scripts using Python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 software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knowledge or hands on design experience with Web Services (REST, SOAP, etc.)</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code using Java and JavaScript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CI/CD pipelines with GitHub and Git Actions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as a Mulesoft developer</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developing using AI tools such as Snowflake Cortex and Intelligence, and/or Informatica Claire</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09/01/2026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2008</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4601 W Guadalupe St, Austin, Texas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TERM OF SERVICE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Services are expected to start on or around September 1, 2026, and are expected to be completed by August 31, 2027. Total estimated hours per candidate shall not exceed 2,008 hours for FY26.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WORK HOURS AND LOCATION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B) The primary work location will be 4601 W Guadalupe St, Austin, Texas 78751.</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Position will be 2 days remote with 3 days (Tues, Wed &amp; Fri) required to be onsite at the location listed above. **Subject to change per the hiring team**</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Program will only allow candidates who are LOCAL TO THE AUSTIN AREA ONLY (Within 50-mile radius).</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 xml:space="preserve">Please do </w:t>
      </w:r>
      <w:r>
        <w:rPr>
          <w:rStyle w:val="Strong"/>
          <w:rFonts w:ascii="Times New Roman" w:hAnsi="Times New Roman" w:cs="Times New Roman" w:eastAsia="Times New Roman"/>
          <w:sz w:val="24"/>
          <w:u w:val="single"/>
        </w:rPr>
        <w:t>not</w:t>
      </w:r>
      <w:r>
        <w:rPr>
          <w:rStyle w:val="Strong"/>
          <w:rFonts w:ascii="Times New Roman" w:hAnsi="Times New Roman" w:cs="Times New Roman" w:eastAsia="Times New Roman"/>
          <w:sz w:val="24"/>
        </w:rPr>
        <w:t xml:space="preserve"> submit candidates who are currently out of state and are planning to move to Texas. Candidates must </w:t>
      </w:r>
      <w:r>
        <w:rPr>
          <w:rStyle w:val="Strong"/>
          <w:rFonts w:ascii="Times New Roman" w:hAnsi="Times New Roman" w:cs="Times New Roman" w:eastAsia="Times New Roman"/>
          <w:sz w:val="24"/>
          <w:u w:val="single"/>
        </w:rPr>
        <w:t>already</w:t>
      </w:r>
      <w:r>
        <w:rPr>
          <w:rStyle w:val="Strong"/>
          <w:rFonts w:ascii="Times New Roman" w:hAnsi="Times New Roman" w:cs="Times New Roman" w:eastAsia="Times New Roman"/>
          <w:sz w:val="24"/>
        </w:rPr>
        <w:t xml:space="preserve"> reside in Texas.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529701725</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Systems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529701725</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mappings and workflows to automate ETL processes using Informatica Power Center or IICS.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Experiencing acquiring and integrating data from multiple data sources/technologies using Informatica Power Center or IICS for use by a Tableau data visualization object. Data source techs should include Oracle, SQL Server, Excel, Access and Adobe PDF.</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complex Snowflake SQL scripts that are fast and efficient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analytical and problem-solving skills with experience as a system analyst for a data analytics, performance management system, or data warehousing project.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Technical writing and diagraming skills, including proficiency with modeling and mapping tools (e.g., Visio, Erwin), and the Microsoft Office Suite (Word, Excel, and PowerPoint) and MS Project.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planning and delivering software platforms used across multiple products and organizational units.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Proven ability to write well designed, testable, efficient code by using best software development practices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Excellent oral and written communication skills.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Effectively manage multiple responsibilities, prioritize conflicting assignments, and switch quickly between assignments, as required.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on an agile sprint team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Understanding of security principles and how they apply to healthcare data</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state of the art software components for a performance metrics data visualization or business intelligence environment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Bachelor’s degree in Computer Science, Information Systems, or Business or equivalent 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in the Healthcare Industry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with an HHS agency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working with PII or PHI data</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scripts using Python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 software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knowledge or hands on design experience with Web Services (REST, SOAP, etc.)</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code using Java and JavaScript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CI/CD pipelines with GitHub and Git Actions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as a Mulesoft developer</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developing using AI tools such as Snowflake Cortex and Intelligence, and/or Informatica Claire</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529701725</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Systems Analyst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529701725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charset w:val="01"/>
    <w:family w:val="auto"/>
    <w:pitch w:val="default"/>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Bullets">
    <w:name w:val="Bullets"/>
    <w:qFormat/>
    <w:rPr>
      <w:rFonts w:ascii="Times New Roman" w:hAnsi="Times New Roman" w:eastAsia="Times New Roman" w:cs="Times New Roman"/>
    </w:rPr>
  </w:style>
  <w:style w:type="character" w:styleId="Emphasis">
    <w:name w:val="Emphasis"/>
    <w:qFormat/>
    <w:rPr>
      <w:rFonts w:ascii="Times New Roman" w:hAnsi="Times New Roman" w:cs="Times New Roman" w:eastAsia="Times New Roman"/>
      <w:i/>
      <w:i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