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IT STAFFING SERVICES SOLICITATION UNDER</w:t>
        <w:br/>
        <w:t>DEPARTMENT OF INFORMATION RESOURCES</w:t>
        <w:br/>
        <w:t>IT STAFF AUGMENTATION CONTRACT (ITSAC)</w:t>
      </w:r>
    </w:p>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28" w:type="dxa"/>
          <w:left w:w="28" w:type="dxa"/>
          <w:bottom w:w="28" w:type="dxa"/>
          <w:right w:w="28" w:type="dxa"/>
        </w:tblCellMar>
      </w:tblPr>
      <w:tblGrid>
        <w:gridCol w:w="3510"/>
        <w:gridCol w:w="3022"/>
        <w:gridCol w:w="2652"/>
      </w:tblGrid>
      <w:tr>
        <w:trPr/>
        <w:tc>
          <w:tcPr>
            <w:tcW w:w="351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Reference Number: 304FM202711</w:t>
            </w:r>
          </w:p>
        </w:tc>
        <w:tc>
          <w:tcPr>
            <w:tcW w:w="30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Title: Legacy Systems Developer</w:t>
            </w:r>
          </w:p>
        </w:tc>
        <w:tc>
          <w:tcPr>
            <w:tcW w:w="26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Software Developer 2 </w:t>
            </w:r>
          </w:p>
        </w:tc>
      </w:tr>
    </w:tbl>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 xml:space="preserve">I.  DESCRIPTION OF SERVICES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br/>
        <w:br/>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requires the services of </w:t>
      </w:r>
      <w:r>
        <w:rPr>
          <w:rFonts w:ascii="Times New Roman" w:hAnsi="Times New Roman" w:cs="Times New Roman" w:eastAsia="Times New Roman"/>
          <w:rStyle w:val="Strong"/>
        </w:rPr>
        <w:t>1 Software Developer 2</w:t>
      </w:r>
      <w:r>
        <w:rPr>
          <w:rFonts w:ascii="Times New Roman" w:hAnsi="Times New Roman" w:cs="Times New Roman" w:eastAsia="Times New Roman"/>
        </w:rPr>
        <w:t>, hereafter referred to as Candidate(s), who meets the general qualifications of </w:t>
      </w:r>
      <w:r>
        <w:rPr>
          <w:rFonts w:ascii="Times New Roman" w:hAnsi="Times New Roman" w:cs="Times New Roman" w:eastAsia="Times New Roman"/>
          <w:rStyle w:val="Strong"/>
        </w:rPr>
        <w:t xml:space="preserve">Software Developer 2, Applications/Software Development </w:t>
      </w:r>
      <w:r>
        <w:rPr>
          <w:rFonts w:ascii="Times New Roman" w:hAnsi="Times New Roman" w:cs="Times New Roman" w:eastAsia="Times New Roman"/>
        </w:rPr>
        <w:t xml:space="preserve">and the specifications outlined in this document for the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w:t>
        <w:br/>
        <w:br/>
        <w:t xml:space="preserve">All work products resulting from the project shall be considered "works made for hire" and are the property of the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and may include pre-selection requirements that potential Vendors (and their Candidates) submit to and satisfy criminal background checks as authorized by Texas law.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will pay no fees for interviews or discussions, which occur during the process of selecting a Candidate(s).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rPr>
        <w:t>Background:</w:t>
      </w:r>
      <w:r>
        <w:rPr>
          <w:rFonts w:ascii="Times New Roman" w:hAnsi="Times New Roman" w:cs="Times New Roman" w:eastAsia="Times New Roman"/>
        </w:rPr>
        <w:t xml:space="preserve">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For information regarding CAPPS STARR, visit: </w:t>
      </w:r>
      <w:hyperlink r:id="rId2" w:tgtFrame="_blank">
        <w:r>
          <w:rPr>
            <w:rStyle w:val="Hyperlink"/>
          </w:rPr>
          <w:t>https://fmx.cpa.texas.gov/fmx/capps/starr/</w:t>
        </w:r>
      </w:hyperlink>
      <w:r>
        <w:rPr>
          <w:rFonts w:ascii="Times New Roman" w:hAnsi="Times New Roman" w:cs="Times New Roman" w:eastAsia="Times New Roman"/>
        </w:rPr>
        <w: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rPr>
        <w:t>Scope of Services:</w:t>
      </w:r>
    </w:p>
    <w:p>
      <w:pPr>
        <w:pStyle w:val="BodyText"/>
        <w:bidi w:val="0"/>
        <w:ind w:hanging="0" w:left="300" w:right="0"/>
        <w:jc w:val="both"/>
        <w:rPr>
          <w:rFonts w:ascii="Times New Roman" w:hAnsi="Times New Roman" w:cs="Times New Roman" w:eastAsia="Times New Roman"/>
        </w:rPr>
      </w:pPr>
      <w:r>
        <w:rPr>
          <w:rFonts w:ascii="Times New Roman" w:hAnsi="Times New Roman" w:cs="Times New Roman" w:eastAsia="Times New Roman"/>
          <w:rStyle w:val="Strong"/>
          <w:u w:val="single"/>
        </w:rPr>
        <w:t>Services Overview</w:t>
      </w:r>
      <w:r>
        <w:rPr>
          <w:rFonts w:ascii="Times New Roman" w:hAnsi="Times New Roman" w:cs="Times New Roman" w:eastAsia="Times New Roman"/>
          <w:rStyle w:val="Strong"/>
        </w:rPr>
        <w:t>.</w:t>
      </w:r>
      <w:r>
        <w:rPr>
          <w:rFonts w:ascii="Times New Roman" w:hAnsi="Times New Roman" w:cs="Times New Roman" w:eastAsia="Times New Roman"/>
        </w:rPr>
        <w:t xml:space="preserve"> The Candidate selected and provided by the Successful Respondent under a CPA contract resulting from this solicitation will be part of CPA’s Fiscal Management Statewide Fiscal Oversight team. The primary scope of work involves highly advanced software development and maintenance support for CPA’s legacy mainframe applications, which could include USAS, TINS, SPA, HRIS, SPRS, and related systems. The Candidate may also be consulted in connection with the CAPPS STARR project where legacy mainframe expertise is relevant, including but not limited to interface and data integration questions. The selected Vendor’s Candidate must be adaptable and able to learn and integrate new systems and platforms as needed.</w:t>
      </w:r>
    </w:p>
    <w:p>
      <w:pPr>
        <w:pStyle w:val="BodyText"/>
        <w:bidi w:val="0"/>
        <w:ind w:hanging="0" w:left="300" w:right="0"/>
        <w:jc w:val="both"/>
        <w:rPr>
          <w:rFonts w:ascii="Times New Roman" w:hAnsi="Times New Roman" w:cs="Times New Roman" w:eastAsia="Times New Roman"/>
        </w:rPr>
      </w:pPr>
      <w:r>
        <w:rPr>
          <w:rFonts w:ascii="Times New Roman" w:hAnsi="Times New Roman" w:cs="Times New Roman" w:eastAsia="Times New Roman"/>
          <w:rStyle w:val="Strong"/>
          <w:u w:val="single"/>
        </w:rPr>
        <w:t>Position Requirements</w:t>
      </w:r>
      <w:r>
        <w:rPr>
          <w:rFonts w:ascii="Times New Roman" w:hAnsi="Times New Roman" w:cs="Times New Roman" w:eastAsia="Times New Roman"/>
          <w:rStyle w:val="Strong"/>
        </w:rPr>
        <w:t>.</w:t>
      </w:r>
      <w:r>
        <w:rPr>
          <w:rFonts w:ascii="Times New Roman" w:hAnsi="Times New Roman" w:cs="Times New Roman" w:eastAsia="Times New Roman"/>
        </w:rPr>
        <w:t> The CPA Work includes, but is not limited to, the following:</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Performing highly advanced software development work in support of the CAPPS STARR project and all ancillary systems, which includes CPA’s legacy mainframe applications (e.g., USAS, SPA, etc.). The Candidate must be able to perform the following, as applicable: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code requested changes in accordance with standards, guidelines and design documents provided by CPA.</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coordinate the testing, debugging and preparing test data, and interact with technical and non- technical staff in the coordination of changes.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deliver tested, production-ready software solutions that meet strict availability requirements in a large-scale enterprise environment.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rPr>
        <w:t>Performing advanced software analysis/programming tasks such as: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Participating in all phases of SDLC, including design, software development and code review.</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Performing extensive code reviews and analysis.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Writing reports on code analysis to determine if industry standards and best practices are being followed; provide analysis to address found short comings.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Providing guidance and knowledge sharing to existing development staff.</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Providing support to an on-call programmer, as required.</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Providing application decommissioning support, as required.</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Providing consultation on CAPPS STARR project matters as needed, including but not limited to legacy system interface questions (e.g., SPRS interfaces), legacy data integration issues, and other areas where the Candidate’s expertise in CPA’s legacy mainframe applications and statewide financial systems is relevant to the project.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Performing other related Work as assigned.</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II.  CANDIDATE SKILLS AND QUALIFICATIONS</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75" w:type="dxa"/>
          <w:left w:w="75" w:type="dxa"/>
          <w:bottom w:w="75" w:type="dxa"/>
          <w:right w:w="75" w:type="dxa"/>
        </w:tblCellMar>
      </w:tblPr>
      <w:tblGrid>
        <w:gridCol w:w="865"/>
        <w:gridCol w:w="1676"/>
        <w:gridCol w:w="6643"/>
      </w:tblGrid>
      <w:tr>
        <w:trPr/>
        <w:tc>
          <w:tcPr>
            <w:tcW w:w="9184" w:type="dxa"/>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br/>
              <w:t xml:space="preserve">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making code changes in accordance with standards, guidelines, and design documents provided.</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Professional experience in software development building production software systems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IBM Enterprise COBOL for z/OS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IBM DB2 for z/OS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MVS/JCL</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data integration and data quality</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Software AG's NATURAL</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coordinating the testing, debugging and preparing of test data and interacting with technical and non-technical staff in the coordination of changes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highly complex application security requirements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any of the Texas CPA Statewide Financial Systems: USAS, SPA, TINS, HRIS, SPRS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of Texas Statewide systems and the CAPPS program</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CICS Web Services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CONTROL-M for z/OS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Computer Associates' product Endevor for COBOL</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Public sector experience (Federal, State or Local Government)</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Proficient with the Microsoft Office products, including Outlook, TEAMS, Microsoft Project, Word, Visio, Excel and PowerPoint</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designing and implementing secure RESTful web services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 code reviews and in-depth code analysis • completing system documentation</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Jira</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Confluence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Experience designing and building Microservices</w:t>
            </w:r>
          </w:p>
        </w:tc>
      </w:tr>
    </w:tbl>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III.  TERMS OF SERVICE</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w:t>
      </w:r>
      <w:r>
        <w:rPr>
          <w:rFonts w:ascii="Times New Roman" w:hAnsi="Times New Roman" w:cs="Times New Roman" w:eastAsia="Times New Roman"/>
          <w:rStyle w:val="Strong"/>
        </w:rPr>
        <w:t>07/01/2026</w:t>
      </w:r>
      <w:r>
        <w:rPr>
          <w:rFonts w:ascii="Times New Roman" w:hAnsi="Times New Roman" w:cs="Times New Roman" w:eastAsia="Times New Roman"/>
        </w:rPr>
        <w:t xml:space="preserve"> and are expected to complete by </w:t>
      </w:r>
      <w:r>
        <w:rPr>
          <w:rFonts w:ascii="Times New Roman" w:hAnsi="Times New Roman" w:cs="Times New Roman" w:eastAsia="Times New Roman"/>
          <w:rStyle w:val="Strong"/>
        </w:rPr>
        <w:t>08/31/2027</w:t>
      </w:r>
      <w:r>
        <w:rPr>
          <w:rFonts w:ascii="Times New Roman" w:hAnsi="Times New Roman" w:cs="Times New Roman" w:eastAsia="Times New Roman"/>
        </w:rPr>
        <w:t xml:space="preserve">. Total estimated hours per Candidate shall not exceed </w:t>
      </w:r>
      <w:r>
        <w:rPr>
          <w:rFonts w:ascii="Times New Roman" w:hAnsi="Times New Roman" w:cs="Times New Roman" w:eastAsia="Times New Roman"/>
          <w:rStyle w:val="Strong"/>
        </w:rPr>
        <w:t>1920</w:t>
      </w:r>
      <w:r>
        <w:rPr>
          <w:rFonts w:ascii="Times New Roman" w:hAnsi="Times New Roman" w:cs="Times New Roman" w:eastAsia="Times New Roman"/>
        </w:rPr>
        <w:t xml:space="preserve"> hours. This service may be amended, renewed, and/or extended providing both parties agree to do so in writing.</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IV. WORK HOURS AND LOCATION</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shall be provided during normal business hours unless otherwise coordinated through the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Normal business hours are Monday through Friday from </w:t>
      </w:r>
      <w:r>
        <w:rPr>
          <w:rFonts w:ascii="Times New Roman" w:hAnsi="Times New Roman" w:cs="Times New Roman" w:eastAsia="Times New Roman"/>
          <w:rStyle w:val="Strong"/>
        </w:rPr>
        <w:t>8:00 AM to 5:00 PM</w:t>
      </w:r>
      <w:r>
        <w:rPr>
          <w:rFonts w:ascii="Times New Roman" w:hAnsi="Times New Roman" w:cs="Times New Roman" w:eastAsia="Times New Roman"/>
        </w:rPr>
        <w:t>, excluding State holidays when the agency is closed.</w:t>
        <w:br/>
        <w:br/>
        <w:t xml:space="preserve">The primary work location(s) will be at </w:t>
      </w:r>
      <w:r>
        <w:rPr>
          <w:rFonts w:ascii="Times New Roman" w:hAnsi="Times New Roman" w:cs="Times New Roman" w:eastAsia="Times New Roman"/>
          <w:rStyle w:val="Strong"/>
        </w:rPr>
        <w:t>Texas Comptroller of Public Accounts, LBJ State Office Building, 111 E. 17th Street, Austin, Texas 78711</w:t>
      </w:r>
      <w:r>
        <w:rPr>
          <w:rFonts w:ascii="Times New Roman" w:hAnsi="Times New Roman" w:cs="Times New Roman" w:eastAsia="Times New Roman"/>
        </w:rPr>
        <w:t xml:space="preserve">. The working position is </w:t>
      </w:r>
      <w:r>
        <w:rPr>
          <w:rFonts w:ascii="Times New Roman" w:hAnsi="Times New Roman" w:cs="Times New Roman" w:eastAsia="Times New Roman"/>
          <w:rStyle w:val="Strong"/>
        </w:rPr>
        <w:t>Hybrid - On Site and Telework</w:t>
      </w:r>
      <w:r>
        <w:rPr>
          <w:rFonts w:ascii="Times New Roman" w:hAnsi="Times New Roman" w:cs="Times New Roman" w:eastAsia="Times New Roman"/>
        </w:rPr>
        <w:t>. Any and all travel, per diem, parking, and/or living expenses shall be at the Candidate's and/or Vendor's expense.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br/>
        <w:br/>
        <w:t xml:space="preserve">The Candidate(s) may be required to work outside the normal business hours on weekends, evenings and holidays, as requested. Payment for work over 40 hours will be at the hourly rate quoted and must be coordinated and pre-approved through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V.  OTHER SPECIAL REQUIREMENTS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rPr>
        <w:t>CANDIDATE SKILLS AND QUALIFICATIONS: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Must be able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work with Business Customers, Section Managers, Project Managers, Business Analysts and Subject Matter Experts (SMEs) in a professional and collaborative manner to define strategies, implementation approaches and provide creative solutions to complex problems.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create well-designed, documented, and tested software solutions that meet strict availability, concurrency and low latency requirements.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turn high-level requirements into a working system through iterative and incremental development.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identify and address product bugs, deficiencies, and performance bottlenecks in a timely manner.</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write unit tests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develop processes and procedures for Application Services.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stay abreast of current technologies, industry standards and best practices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be productive working independently or in a team environment (both local and remote) with minimal supervision.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Must possess: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a solid understanding of latest web technologies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strong written, verbal, and interpersonal communication skills.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strong problem-solving skills and ability to multi-task with readiness to put in extra effort when necessary</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the willingness to learn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While working on-site at CPA's location, the selected Vendor’s Candidate will be assigned a working location and provided information regarding parking that may be available to CPA contractors.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CPA will not pay for any travel-related costs; any and all travel, per diem, parking, and/or living expenses shall be at the selected Vendor’s Candidate's and/or Vendor's expense.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Work Hours</w:t>
      </w:r>
      <w:r>
        <w:rPr>
          <w:rFonts w:ascii="Times New Roman" w:hAnsi="Times New Roman" w:cs="Times New Roman" w:eastAsia="Times New Roman"/>
          <w:rStyle w:val="Strong"/>
        </w:rPr>
        <w:t>.</w:t>
      </w:r>
      <w:r>
        <w:rPr>
          <w:rFonts w:ascii="Times New Roman" w:hAnsi="Times New Roman" w:cs="Times New Roman" w:eastAsia="Times New Roman"/>
        </w:rPr>
        <w:t> CPA’s standard hours of operation are 8:00 a.m. to 5:00 p.m. CT, Monday through Friday. The current CPA workload estimates indicate that approximately one-hundred sixty (160) hours per month shall be required from each of the awarded Vendor's Candidate(s); the number of hours may be revised by CPA based on the negotiated and awarded hourly rate. The workload estimate is based on an eight (8) hour workday and a five (5) day work week. However, CPA anticipates that the Services to be provided by Candidate(s) will be conducted during any and/or all of the following, as requested by CPA: CPA's standard hours of operation, before-hours, after-hours, weekends, and holidays. The Candidate's work schedule must be approved in writing by the CPA Supervising Manager.</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Support for Vendor Invoicing</w:t>
      </w:r>
      <w:r>
        <w:rPr>
          <w:rFonts w:ascii="Times New Roman" w:hAnsi="Times New Roman" w:cs="Times New Roman" w:eastAsia="Times New Roman"/>
          <w:rStyle w:val="Strong"/>
        </w:rPr>
        <w:t>.</w:t>
      </w:r>
      <w:r>
        <w:rPr>
          <w:rFonts w:ascii="Times New Roman" w:hAnsi="Times New Roman" w:cs="Times New Roman" w:eastAsia="Times New Roman"/>
        </w:rPr>
        <w:t> On a weekly basis, each of Vendor’s personnel shall use CPA’s timekeeping system to record hours worked in providing Services for approval by the CPA Supervising Manager. The CPA Supervising Manager will provide its approval via CPA’s timekeeping system; a manual CPA signature is not required; also, CPA is not required to manually sign or approve any Vendor-provided timesheet. Vendor’s personnel shall provide its CPA approved timesheet reports to the Vendor to support the monthly invoice to CPA. Vendor shall submit the invoice to CPA, in accordance with the CPA PO, no later than the 15th calendar day of the month to support payment processing. Upon the completion of the Services under each Contract Term, Vendor shall confirm all invoices have been provided to CPA no later than October 31st.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Selection and Award Requirements</w:t>
      </w:r>
      <w:r>
        <w:rPr>
          <w:rFonts w:ascii="Times New Roman" w:hAnsi="Times New Roman" w:cs="Times New Roman" w:eastAsia="Times New Roman"/>
          <w:rStyle w:val="Strong"/>
        </w:rPr>
        <w:t>.</w:t>
      </w:r>
      <w:r>
        <w:rPr>
          <w:rFonts w:ascii="Times New Roman" w:hAnsi="Times New Roman" w:cs="Times New Roman" w:eastAsia="Times New Roman"/>
        </w:rPr>
        <w:t> As part of the Vendor’s Offer, and upon the request of CPA to support the interview process and/or selection of Candidate(s), Vendor shall provide the following, at a minimum:</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(1) Picture ID (Government). Vendor must provide a copy of the proposed Candidate's state Driver’s License/ID Card or US Government photo identification that indicates their full legal name.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(2) Proposed Work Location and Schedule. Vendor must provide the proposed Candidate's preferred work location and work schedule. If the proposed work location is remote, the Vendor must provide the City and State of the proposed Candidate's primary remote location.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(3) Disclosure of Separate Contract. In accordance with DIR’s ITSAC contract, Vendor must disclose whether the proposed Candidate is currently engaged in a separate contract to provide services of any kind to CPA and/or a different customer during the CPA Contract Term under the CPA contract resulting from this solicitation.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Selection Interview Process</w:t>
      </w:r>
      <w:r>
        <w:rPr>
          <w:rFonts w:ascii="Times New Roman" w:hAnsi="Times New Roman" w:cs="Times New Roman" w:eastAsia="Times New Roman"/>
          <w:rStyle w:val="Strong"/>
        </w:rPr>
        <w:t>. </w:t>
      </w:r>
      <w:r>
        <w:rPr>
          <w:rFonts w:ascii="Times New Roman" w:hAnsi="Times New Roman" w:cs="Times New Roman" w:eastAsia="Times New Roman"/>
        </w:rPr>
        <w:t>Upon the request of CPA, as applicable, Vendor shall be responsible for coordinating the interview between CPA and Vendor’s selected Candidate at a mutually agreeable date and time. At CPA's discretion, the interview, if any, may be conducted via teleconference with cameras on (e.g., Microsoft Teams) or on-site at CPA’s designated location.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Onboarding of Selected Candidate</w:t>
      </w:r>
      <w:r>
        <w:rPr>
          <w:rFonts w:ascii="Times New Roman" w:hAnsi="Times New Roman" w:cs="Times New Roman" w:eastAsia="Times New Roman"/>
          <w:rStyle w:val="Strong"/>
        </w:rPr>
        <w:t>.</w:t>
      </w:r>
      <w:r>
        <w:rPr>
          <w:rFonts w:ascii="Times New Roman" w:hAnsi="Times New Roman" w:cs="Times New Roman" w:eastAsia="Times New Roman"/>
        </w:rPr>
        <w:t> To support the onboarding of the Vendor’s selected Candidate, the following at a minimum applies: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(1) Background Check, Prior to Award. In accordance with the provision in CPA’s Additional T&amp;Cs (Attachment A), the Vendor must attest that the background check has been performed and passed for the selected Candidate, and must disclose any felonies. The criminal background check shall be conducted at the Vendor's expense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(2) Assignment of CPA Equipment, Upon Commencement of Services. Unless otherwise mutually agreed to between CPA and Vendor, upon commencement of the Services, regardless of the primary work location that may be agreed to between CPA and Vendor, the selected Vendor’s Candidate is required to come in person to CPA's designated location to meet with CPA's Supervising Manager and obtain the CPA equipment to perform the Services. As applicable, the awarded Vendor shall be fully responsible for all expenses related to the onboarding of the selected Vendor’s Candidate, which includes but is not limited to any and all travel, per diem, parking, shipping of CPA equipment, and/or living expenses.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Offboarding of Selected Candidate</w:t>
      </w:r>
      <w:r>
        <w:rPr>
          <w:rFonts w:ascii="Times New Roman" w:hAnsi="Times New Roman" w:cs="Times New Roman" w:eastAsia="Times New Roman"/>
          <w:rStyle w:val="Strong"/>
        </w:rPr>
        <w:t>.</w:t>
      </w:r>
      <w:r>
        <w:rPr>
          <w:rFonts w:ascii="Times New Roman" w:hAnsi="Times New Roman" w:cs="Times New Roman" w:eastAsia="Times New Roman"/>
        </w:rPr>
        <w:t xml:space="preserve"> Upon the resignation, expiration, or termination of the Services provided by the selected Vendor’s Candidate, Vendor shall be fully responsible for providing notification to CPA’s Contract Manager (capps.staff.aug@cpa.texas.gov), and shall coordinate the return of the CPA equipment with the CPA Contract Manager and/or CPA's Supervising Manager. As applicable, the awarded Vendor shall be fully responsible for all expenses related to the offboarding of the selected Vendor’s Candidate, which includes but is not limited to any and all travel, per diem, parking, shipping of CPA equipment, and/or living expenses</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304FM202711</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Software Developer 2</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Applications/Software Development</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QUALIFICATIONS</w:t>
      </w:r>
    </w:p>
    <w:p/>
    <w:tbl>
      <w:tblPr>
        <w:tblW w:w="4500" w:type="pct"/>
        <w:jc w:val="left"/>
        <w:tblLayout w:type="fixed"/>
        <w:tblCellMar>
          <w:top w:w="28" w:type="dxa"/>
          <w:left w:w="28" w:type="dxa"/>
          <w:bottom w:w="28" w:type="dxa"/>
          <w:right w:w="28" w:type="dxa"/>
        </w:tblCellMar>
      </w:tblPr>
      <w:tblGrid>
        <w:gridCol w:w="4062"/>
        <w:gridCol w:w="5122"/>
      </w:tblGrid>
      <w:tr>
        <w:trPr/>
        <w:tc>
          <w:tcPr>
            <w:tcW w:w="406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Number: 304FM202711</w:t>
            </w:r>
          </w:p>
        </w:tc>
        <w:tc>
          <w:tcPr>
            <w:tcW w:w="51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Software Developer 2 </w:t>
            </w:r>
          </w:p>
        </w:tc>
      </w:tr>
      <w:tr>
        <w:trPr/>
        <w:tc>
          <w:tcPr>
            <w:tcW w:w="406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5122"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4500" w:type="pct"/>
        <w:jc w:val="left"/>
        <w:tblLayout w:type="fixed"/>
        <w:tblCellMar>
          <w:top w:w="75" w:type="dxa"/>
          <w:left w:w="75" w:type="dxa"/>
          <w:bottom w:w="75" w:type="dxa"/>
          <w:right w:w="75" w:type="dxa"/>
        </w:tblCellMar>
      </w:tblPr>
      <w:tblGrid>
        <w:gridCol w:w="1554"/>
        <w:gridCol w:w="1540"/>
        <w:gridCol w:w="1368"/>
        <w:gridCol w:w="4722"/>
      </w:tblGrid>
      <w:tr>
        <w:trPr/>
        <w:tc>
          <w:tcPr>
            <w:tcW w:w="9184" w:type="dxa"/>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t xml:space="preserve"> 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Actual</w:t>
              <w:br/>
              <w:t>Years</w:t>
              <w:br/>
              <w:t>Experience</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br/>
              <w:t>Experience</w:t>
              <w:br/>
              <w:t>Needed</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b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Skills/Experience</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making code changes in accordance with standards, guidelines, and design documents provided.</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Professional experience in software development building production software systems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IBM Enterprise COBOL for z/OS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IBM DB2 for z/OS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MVS/JCL</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data integration and data quality</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Software AG's NATURAL</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coordinating the testing, debugging and preparing of test data and interacting with technical and non-technical staff in the coordination of changes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highly complex application security requirements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any of the Texas CPA Statewide Financial Systems: USAS, SPA, TINS, HRIS, SPRS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of Texas Statewide systems and the CAPPS program</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CICS Web Services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CONTROL-M for z/OS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Computer Associates' product Endevor for COBOL</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Public sector experience (Federal, State or Local Government)</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Proficient with the Microsoft Office products, including Outlook, TEAMS, Microsoft Project, Word, Visio, Excel and PowerPoint</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designing and implementing secure RESTful web services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 code reviews and in-depth code analysis • completing system documentation</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Jira</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Confluence</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Experience designing and building Microservices</w:t>
            </w:r>
          </w:p>
        </w:tc>
      </w:tr>
    </w:tbl>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ACKNOWLEDGEMENT</w:t>
      </w:r>
    </w:p>
    <w:p/>
    <w:tbl>
      <w:tblPr>
        <w:tblW w:w="4500" w:type="pct"/>
        <w:jc w:val="left"/>
        <w:tblLayout w:type="fixed"/>
        <w:tblCellMar>
          <w:top w:w="28" w:type="dxa"/>
          <w:left w:w="28" w:type="dxa"/>
          <w:bottom w:w="28" w:type="dxa"/>
          <w:right w:w="28" w:type="dxa"/>
        </w:tblCellMar>
      </w:tblPr>
      <w:tblGrid>
        <w:gridCol w:w="4558"/>
        <w:gridCol w:w="4626"/>
      </w:tblGrid>
      <w:tr>
        <w:trPr/>
        <w:tc>
          <w:tcPr>
            <w:tcW w:w="455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RFO: 445 Solicitation Number: 304FM202711</w:t>
            </w:r>
          </w:p>
        </w:tc>
        <w:tc>
          <w:tcPr>
            <w:tcW w:w="462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Title/Level: Software Developer 2</w:t>
            </w:r>
          </w:p>
        </w:tc>
      </w:tr>
      <w:tr>
        <w:trPr/>
        <w:tc>
          <w:tcPr>
            <w:tcW w:w="455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4626"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10205" w:type="dxa"/>
        <w:jc w:val="left"/>
        <w:tblLayout w:type="fixed"/>
        <w:tblCellMar>
          <w:top w:w="28" w:type="dxa"/>
          <w:left w:w="28" w:type="dxa"/>
          <w:bottom w:w="28" w:type="dxa"/>
          <w:right w:w="28" w:type="dxa"/>
        </w:tblCellMar>
      </w:tblPr>
      <w:tblGrid>
        <w:gridCol w:w="9360"/>
      </w:tblGrid>
      <w:tr>
        <w:trPr/>
        <w:tc>
          <w:tcPr>
            <w:tcW w:w="9360" w:type="dxa"/>
            <w:gridSpan w:val="2"/>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I hereby authorize . to submit my resume in response to the temporary staffing Solicitation 304FM202711 for Texas Comptroller of Public Accounts.</w:t>
              <w:br/>
              <w:br/>
              <w:t>I understand that submission of my resume by multiple vendors may result in my disqualification from this opportunity. Customers reserve the right to hire a candidate submitted by multiple vendors.</w:t>
              <w:br/>
              <w:br/>
              <w:br/>
              <w:t>Worker signature:  _______________________________</w:t>
              <w:br/>
              <w:br/>
              <w:br/>
              <w:t>Date:   _______________________</w:t>
            </w:r>
            <w:r>
              <w:rPr>
                <w:rFonts w:ascii="Times New Roman" w:hAnsi="Times New Roman" w:cs="Times New Roman" w:eastAsia="Times New Roman"/>
                <w:rStyle w:val="Strong"/>
              </w:rPr>
            </w:r>
            <w:r>
              <w:rPr>
                <w:rFonts w:ascii="Times New Roman" w:hAnsi="Times New Roman" w:cs="Times New Roman" w:eastAsia="Times New Roman"/>
              </w:rPr>
            </w:r>
            <w:r>
              <w:rPr>
                <w:rFonts w:ascii="Times New Roman" w:hAnsi="Times New Roman" w:cs="Times New Roman" w:eastAsia="Times New Roman"/>
                <w:rStyle w:val="Strong"/>
              </w:rPr>
            </w:r>
            <w:r>
              <w:rPr>
                <w:rFonts w:ascii="Times New Roman" w:hAnsi="Times New Roman" w:cs="Times New Roman" w:eastAsia="Times New Roman"/>
              </w:rPr>
            </w:r>
          </w:p>
        </w:tc>
      </w:tr>
    </w:tbl>
    <w:p>
      <w:pPr>
        <w:pStyle w:val="BodyText"/>
        <w:bidi w:val="0"/>
        <w:spacing w:before="0" w:after="140"/>
        <w:jc w:val="left"/>
        <w:rPr>
          <w:rFonts w:ascii="Times New Roman" w:hAnsi="Times New Roman" w:cs="Times New Roman" w:eastAsia="Times New Roman"/>
        </w:rPr>
      </w:pPr>
      <w:r>
        <w:rPr>
          <w:rFonts w:ascii="Times New Roman" w:hAnsi="Times New Roman" w:cs="Times New Roman" w:eastAsia="Times New Roman"/>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OpenSymbol">
    <w:altName w:val="Arial Unicode MS"/>
    <w:charset w:val="02"/>
    <w:family w:val="auto"/>
    <w:pitch w:val="default"/>
  </w:font>
  <w:font w:name="DejaVu Sans">
    <w:charset w:val="01"/>
    <w:family w:val="swiss"/>
    <w:pitch w:val="variable"/>
  </w:font>
  <w:font w:name="Symbol">
    <w:charset w:val="01"/>
    <w:family w:val="auto"/>
    <w:pitch w:val="default"/>
  </w:font>
  <w:font w:name="Arial">
    <w:altName w:val="Helvetic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erif" w:hAnsi="DejaVu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Strong">
    <w:name w:val="Strong"/>
    <w:qFormat/>
    <w:rPr>
      <w:rFonts w:ascii="Times New Roman" w:hAnsi="Times New Roman" w:cs="Times New Roman" w:eastAsia="Times New Roman"/>
      <w:b/>
      <w:bCs/>
    </w:rPr>
  </w:style>
  <w:style w:type="character" w:styleId="Hyperlink">
    <w:name w:val="Hyperlink"/>
    <w:rPr>
      <w:rFonts w:ascii="Times New Roman" w:hAnsi="Times New Roman" w:cs="Times New Roman" w:eastAsia="Times New Roman"/>
      <w:color w:val="000080"/>
      <w:u w:val="single"/>
    </w:rPr>
  </w:style>
  <w:style w:type="character" w:styleId="Emphasis">
    <w:name w:val="Emphasis"/>
    <w:qFormat/>
    <w:rPr>
      <w:rFonts w:ascii="Times New Roman" w:hAnsi="Times New Roman" w:cs="Times New Roman" w:eastAsia="Times New Roman"/>
      <w:i/>
      <w:iCs/>
    </w:rPr>
  </w:style>
  <w:style w:type="character" w:styleId="NumberingSymbols">
    <w:name w:val="Numbering Symbols"/>
    <w:qFormat/>
    <w:rPr>
      <w:rFonts w:ascii="Times New Roman" w:hAnsi="Times New Roman" w:cs="Times New Roman" w:eastAsia="Times New Roman"/>
    </w:rPr>
  </w:style>
  <w:style w:type="character" w:styleId="Bullets">
    <w:name w:val="Bullets"/>
    <w:qFormat/>
    <w:rPr>
      <w:rFonts w:ascii="Times New Roman" w:hAnsi="Times New Roman" w:eastAsia="Times New Roman" w:cs="Times New Roman"/>
    </w:rPr>
  </w:style>
  <w:style w:type="paragraph" w:styleId="Heading">
    <w:name w:val="Heading"/>
    <w:basedOn w:val="Normal"/>
    <w:next w:val="BodyText"/>
    <w:qFormat/>
    <w:pPr>
      <w:keepNext w:val="true"/>
      <w:spacing w:before="240" w:after="120"/>
    </w:pPr>
    <w:rPr>
      <w:rFonts w:ascii="Times New Roman" w:hAnsi="Times New Roman" w:eastAsia="Times New Roman" w:cs="Times New Roman"/>
      <w:sz w:val="28"/>
      <w:szCs w:val="28"/>
    </w:rPr>
  </w:style>
  <w:style w:type="paragraph" w:styleId="BodyText">
    <w:name w:val="Body Text"/>
    <w:basedOn w:val="Normal"/>
    <w:pPr>
      <w:spacing w:lineRule="auto" w:line="276" w:before="0" w:after="140"/>
    </w:pPr>
    <w:rPr>
      <w:rFonts w:ascii="Times New Roman" w:hAnsi="Times New Roman" w:cs="Times New Roman" w:eastAsia="Times New Roman"/>
    </w:rPr>
  </w:style>
  <w:style w:type="paragraph" w:styleId="List">
    <w:name w:val="List"/>
    <w:basedOn w:val="BodyText"/>
    <w:pPr/>
    <w:rPr>
      <w:rFonts w:ascii="Times New Roman" w:hAnsi="Times New Roman" w:cs="Times New Roman" w:eastAsia="Times New Roman"/>
    </w:rPr>
  </w:style>
  <w:style w:type="paragraph" w:styleId="Caption">
    <w:name w:val="caption"/>
    <w:basedOn w:val="Normal"/>
    <w:qFormat/>
    <w:pPr>
      <w:suppressLineNumbers/>
      <w:spacing w:before="120" w:after="120"/>
    </w:pPr>
    <w:rPr>
      <w:rFonts w:ascii="Times New Roman" w:hAnsi="Times New Roman" w:cs="Times New Roman" w:eastAsia="Times New Roman"/>
      <w:i/>
      <w:iCs/>
      <w:sz w:val="24"/>
      <w:szCs w:val="24"/>
    </w:rPr>
  </w:style>
  <w:style w:type="paragraph" w:styleId="Index">
    <w:name w:val="Index"/>
    <w:basedOn w:val="Normal"/>
    <w:qFormat/>
    <w:pPr>
      <w:suppressLineNumbers/>
    </w:pPr>
    <w:rPr>
      <w:rFonts w:ascii="Times New Roman" w:hAnsi="Times New Roman" w:cs="Times New Roman" w:eastAsia="Times New Roman"/>
    </w:rPr>
  </w:style>
  <w:style w:type="paragraph" w:styleId="TableContents">
    <w:name w:val="Table Contents"/>
    <w:basedOn w:val="Normal"/>
    <w:qFormat/>
    <w:pPr>
      <w:widowControl w:val="false"/>
      <w:suppressLineNumbers/>
    </w:pPr>
    <w:rPr>
      <w:rFonts w:ascii="Times New Roman" w:hAnsi="Times New Roman" w:cs="Times New Roman" w:eastAsia="Times New Roman"/>
    </w:rPr>
  </w:style>
  <w:style w:type="paragraph" w:styleId="TableHeading">
    <w:name w:val="Table Heading"/>
    <w:basedOn w:val="TableContents"/>
    <w:qFormat/>
    <w:pPr>
      <w:suppressLineNumbers/>
      <w:jc w:val="center"/>
    </w:pPr>
    <w:rPr>
      <w:rFonts w:ascii="Times New Roman" w:hAnsi="Times New Roman" w:cs="Times New Roman" w:eastAsia="Times New Roman"/>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mx.cpa.texas.gov/fmx/capps/starr/" TargetMode="External"/><Relationship Id="rId3" Type="http://schemas.openxmlformats.org/officeDocument/2006/relationships/hyperlink" Target="http://www2.cpa.state.tx.us/cmbl/cmblhub.html" TargetMode="External"/><Relationship Id="rId4" Type="http://schemas.openxmlformats.org/officeDocument/2006/relationships/hyperlink" Target="https://comptroller.texas.gov/purchasing/vendor/hub" TargetMode="External"/><Relationship Id="rId5" Type="http://schemas.openxmlformats.org/officeDocument/2006/relationships/hyperlink" Target="mailto:ITSAC%20Staff%20Augmentation" TargetMode="External"/><Relationship Id="rId6" Type="http://schemas.openxmlformats.org/officeDocument/2006/relationships/hyperlink" Target="https://dir.texas.gov/"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Export HTML to Word Document with JavaScript</dc:title>
</cp:coreProperties>
</file>

<file path=docProps/custom.xml><?xml version="1.0" encoding="utf-8"?>
<Properties xmlns="http://schemas.openxmlformats.org/officeDocument/2006/custom-properties" xmlns:vt="http://schemas.openxmlformats.org/officeDocument/2006/docPropsVTypes"/>
</file>