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spacing w:before="0" w:after="0"/>
        <w:ind w:hanging="0" w:left="0" w:right="0"/>
        <w:jc w:val="center"/>
        <w:rPr>
          <w:rFonts w:ascii="Times New Roman" w:hAnsi="Times New Roman" w:cs="Times New Roman" w:eastAsia="Times New Roman"/>
        </w:rPr>
      </w:pPr>
      <w:r>
        <w:rPr>
          <w:rFonts w:ascii="Times New Roman" w:hAnsi="Times New Roman" w:cs="Times New Roman" w:eastAsia="Times New Roman"/>
          <w:rStyle w:val="Strong"/>
        </w:rPr>
        <w:t>IT STAFFING SERVICES SOLICITATION UNDER</w:t>
        <w:br/>
        <w:t>DEPARTMENT OF INFORMATION RESOURCES</w:t>
        <w:br/>
        <w:t>IT STAFF AUGMENTATION CONTRACT (ITSAC)</w:t>
      </w:r>
    </w:p>
    <w:p>
      <w:pPr>
        <w:pStyle w:val="BodyText"/>
        <w:bidi w:val="0"/>
        <w:jc w:val="left"/>
        <w:rPr>
          <w:rFonts w:ascii="Times New Roman" w:hAnsi="Times New Roman" w:cs="Times New Roman" w:eastAsia="Times New Roman"/>
        </w:rPr>
      </w:pPr>
      <w:r>
        <w:rPr>
          <w:rFonts w:ascii="Times New Roman" w:hAnsi="Times New Roman" w:cs="Times New Roman" w:eastAsia="Times New Roman"/>
        </w:rPr>
      </w:r>
    </w:p>
    <w:tbl>
      <w:tblPr>
        <w:tblW w:w="4500" w:type="pct"/>
        <w:jc w:val="left"/>
        <w:tblLayout w:type="fixed"/>
        <w:tblCellMar>
          <w:top w:w="28" w:type="dxa"/>
          <w:left w:w="28" w:type="dxa"/>
          <w:bottom w:w="28" w:type="dxa"/>
          <w:right w:w="28" w:type="dxa"/>
        </w:tblCellMar>
      </w:tblPr>
      <w:tblGrid>
        <w:gridCol w:w="2830"/>
        <w:gridCol w:w="2984"/>
        <w:gridCol w:w="3370"/>
      </w:tblGrid>
      <w:tr>
        <w:trPr/>
        <w:tc>
          <w:tcPr>
            <w:tcW w:w="283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Solicitation Reference Number: 304FM202710</w:t>
            </w:r>
          </w:p>
        </w:tc>
        <w:tc>
          <w:tcPr>
            <w:tcW w:w="298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Working Title: Working Title: Organizational Change Management (OCM) Coordinator</w:t>
            </w:r>
          </w:p>
        </w:tc>
        <w:tc>
          <w:tcPr>
            <w:tcW w:w="337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xml:space="preserve">Title/Level: Change Management Manager/Organizational Change Management (OCM) Specialist </w:t>
            </w:r>
          </w:p>
        </w:tc>
      </w:tr>
    </w:tbl>
    <w:p>
      <w:pPr>
        <w:pStyle w:val="BodyText"/>
        <w:bidi w:val="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Style w:val="Strong"/>
        </w:rPr>
        <w:t xml:space="preserve">I.  DESCRIPTION OF SERVICES </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br/>
        <w:br/>
      </w:r>
      <w:r>
        <w:rPr>
          <w:rFonts w:ascii="Times New Roman" w:hAnsi="Times New Roman" w:cs="Times New Roman" w:eastAsia="Times New Roman"/>
          <w:rStyle w:val="Strong"/>
        </w:rPr>
        <w:t>Texas Comptroller of Public Accounts</w:t>
      </w:r>
      <w:r>
        <w:rPr>
          <w:rFonts w:ascii="Times New Roman" w:hAnsi="Times New Roman" w:cs="Times New Roman" w:eastAsia="Times New Roman"/>
        </w:rPr>
        <w:t xml:space="preserve"> requires the services of </w:t>
      </w:r>
      <w:r>
        <w:rPr>
          <w:rFonts w:ascii="Times New Roman" w:hAnsi="Times New Roman" w:cs="Times New Roman" w:eastAsia="Times New Roman"/>
          <w:rStyle w:val="Strong"/>
        </w:rPr>
        <w:t>2 Change Management Manager/Organizational Change Management (OCM) Specialist</w:t>
      </w:r>
      <w:r>
        <w:rPr>
          <w:rFonts w:ascii="Times New Roman" w:hAnsi="Times New Roman" w:cs="Times New Roman" w:eastAsia="Times New Roman"/>
        </w:rPr>
        <w:t>, hereafter referred to as Candidate(s), who meets the general qualifications of </w:t>
      </w:r>
      <w:r>
        <w:rPr>
          <w:rFonts w:ascii="Times New Roman" w:hAnsi="Times New Roman" w:cs="Times New Roman" w:eastAsia="Times New Roman"/>
          <w:rStyle w:val="Strong"/>
        </w:rPr>
        <w:t xml:space="preserve">Change Management Manager/Organizational Change Management (OCM) Specialist, Information Technology Services Management (ITSM Operations) </w:t>
      </w:r>
      <w:r>
        <w:rPr>
          <w:rFonts w:ascii="Times New Roman" w:hAnsi="Times New Roman" w:cs="Times New Roman" w:eastAsia="Times New Roman"/>
        </w:rPr>
        <w:t xml:space="preserve">and the specifications outlined in this document for the </w:t>
      </w:r>
      <w:r>
        <w:rPr>
          <w:rFonts w:ascii="Times New Roman" w:hAnsi="Times New Roman" w:cs="Times New Roman" w:eastAsia="Times New Roman"/>
          <w:rStyle w:val="Strong"/>
        </w:rPr>
        <w:t>Texas Comptroller of Public Accounts</w:t>
      </w:r>
      <w:r>
        <w:rPr>
          <w:rFonts w:ascii="Times New Roman" w:hAnsi="Times New Roman" w:cs="Times New Roman" w:eastAsia="Times New Roman"/>
        </w:rPr>
        <w:t>.</w:t>
        <w:br/>
        <w:br/>
        <w:t xml:space="preserve">All work products resulting from the project shall be considered "works made for hire" and are the property of the </w:t>
      </w:r>
      <w:r>
        <w:rPr>
          <w:rFonts w:ascii="Times New Roman" w:hAnsi="Times New Roman" w:cs="Times New Roman" w:eastAsia="Times New Roman"/>
          <w:rStyle w:val="Strong"/>
        </w:rPr>
        <w:t>Texas Comptroller of Public Accounts</w:t>
      </w:r>
      <w:r>
        <w:rPr>
          <w:rFonts w:ascii="Times New Roman" w:hAnsi="Times New Roman" w:cs="Times New Roman" w:eastAsia="Times New Roman"/>
        </w:rPr>
        <w:t xml:space="preserve">  and may include pre-selection requirements that potential Vendors (and their Candidates) submit to and satisfy criminal background checks as authorized by Texas law. </w:t>
      </w:r>
      <w:r>
        <w:rPr>
          <w:rFonts w:ascii="Times New Roman" w:hAnsi="Times New Roman" w:cs="Times New Roman" w:eastAsia="Times New Roman"/>
          <w:rStyle w:val="Strong"/>
        </w:rPr>
        <w:t>Texas Comptroller of Public Accounts</w:t>
      </w:r>
      <w:r>
        <w:rPr>
          <w:rFonts w:ascii="Times New Roman" w:hAnsi="Times New Roman" w:cs="Times New Roman" w:eastAsia="Times New Roman"/>
        </w:rPr>
        <w:t xml:space="preserve"> will pay no fees for interviews or discussions, which occur during the process of selecting a Candidate(s).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The Texas Comptroller of Public Accounts (CPA) requests responses from qualified Respondents to provide Organizational Change Management (OCM) and agency transition support services for the Centralized Accounting Payroll/Personnel System (CAPPS) State of Texas Accounting and Reporting Resource (STARR) financial system implementation. </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CPA is seeking experienced change management professionals to coordinate agency communications, support User Acceptance Testing (UAT), Train-the-Trainer (TTT), and End User Training (EUT) activities, with the goal of ensuring a successful transition for the over 200 state agencies and institutions of higher education that interface with CPA's statewide financial systems. Successful adoption of CAPPS STARR will require more than awareness; end-user agency staff must feel capable and ready to operate in the new environment. The selected Vendor’s Candidate will support that outcome by focusing on clarity, competence-building, and participation at the agency level.</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For information regarding CPA's CAPPS STARR Program, visit: </w:t>
      </w:r>
      <w:hyperlink r:id="rId2" w:tgtFrame="_blank">
        <w:r>
          <w:rPr>
            <w:rStyle w:val="Hyperlink"/>
          </w:rPr>
          <w:t>CAPPS — State of Texas Accounting and Reporting Resource (STARR)</w:t>
        </w:r>
      </w:hyperlink>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Strong"/>
        </w:rPr>
        <w:t> </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Strong"/>
        </w:rPr>
        <w:t>SCOPE OF SERVICES.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Strong"/>
          <w:u w:val="single"/>
        </w:rPr>
        <w:t>Services Overview</w:t>
      </w:r>
      <w:r>
        <w:rPr>
          <w:rFonts w:ascii="Times New Roman" w:hAnsi="Times New Roman" w:cs="Times New Roman" w:eastAsia="Times New Roman"/>
          <w:rStyle w:val="Strong"/>
        </w:rPr>
        <w:t>.</w:t>
      </w:r>
      <w:r>
        <w:rPr>
          <w:rFonts w:ascii="Times New Roman" w:hAnsi="Times New Roman" w:cs="Times New Roman" w:eastAsia="Times New Roman"/>
        </w:rPr>
        <w:t xml:space="preserve"> The selected Vendor’s Candidate will work alongside CPA's OCM team to support agency coordination, communications, and readiness to support the CAPPS STARR implementation. Central coordination authority and agency relationships remain with CPA; the selected Vendor’s Candidate’s function is to extend CPA's reach by serving as a structured OCM liaison to state agencies throughout testing, training, and transition activities.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Strong"/>
          <w:u w:val="single"/>
        </w:rPr>
        <w:t>Position Requirements</w:t>
      </w:r>
      <w:r>
        <w:rPr>
          <w:rFonts w:ascii="Times New Roman" w:hAnsi="Times New Roman" w:cs="Times New Roman" w:eastAsia="Times New Roman"/>
          <w:rStyle w:val="Strong"/>
        </w:rPr>
        <w:t>.</w:t>
      </w:r>
      <w:r>
        <w:rPr>
          <w:rFonts w:ascii="Times New Roman" w:hAnsi="Times New Roman" w:cs="Times New Roman" w:eastAsia="Times New Roman"/>
        </w:rPr>
        <w:t> The CPA Work includes, but is not limited to, the following:</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Performing highly advanced (senior-level) consultative services and technical assistance work related to supporting the CAPPS STARR Program. The Comptroller retains ownership of all system decisions, training content, policies, and final communications. All work products are subject to CPA review and approval.</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Services to be delivered under this engagement are organized into the following functional areas: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w:t>
      </w:r>
      <w:r>
        <w:rPr>
          <w:rFonts w:ascii="Times New Roman" w:hAnsi="Times New Roman" w:cs="Times New Roman" w:eastAsia="Times New Roman"/>
        </w:rPr>
        <w:t>      </w:t>
      </w:r>
      <w:r>
        <w:rPr>
          <w:rFonts w:ascii="Times New Roman" w:hAnsi="Times New Roman" w:cs="Times New Roman" w:eastAsia="Times New Roman"/>
          <w:rStyle w:val="Strong"/>
        </w:rPr>
        <w:t>Stakeholder and Agency Liaison Support</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The selected Candidates will work alongside and under the direction of CPA's OCM team to support agency coordination, communications, and readiness. Central coordination authority and primary agency relationships remain with CPA. The selected Candidate's role is to extend CPA's reach by serving as a structured liaison to state agencies, ensuring they receive the information and support they need to feel capable and prepared, not necessarily to enlist them as advocates or to build change-champion networks within them. Scope includes, but is not limited to:</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r>
        <w:rPr>
          <w:rFonts w:ascii="Times New Roman" w:hAnsi="Times New Roman" w:cs="Times New Roman" w:eastAsia="Times New Roman"/>
        </w:rPr>
        <w:t>Maintaining familiarity with CPA-approved CGI OCM, training, and testing deliverables to effectively support agency communications and readiness activities. The Respondent is not responsible for reviewing or approving such deliverables but must understand their content and implications for agency stakeholders.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r>
        <w:rPr>
          <w:rFonts w:ascii="Times New Roman" w:hAnsi="Times New Roman" w:cs="Times New Roman" w:eastAsia="Times New Roman"/>
        </w:rPr>
        <w:t xml:space="preserve">Participating as a standing attendee in CPA-led OCM and training team meetings. Attending select CPA-led testing coordination meetings as directed, beginning with integration testing activities as preparation for UAT coordination. </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r>
        <w:rPr>
          <w:rFonts w:ascii="Times New Roman" w:hAnsi="Times New Roman" w:cs="Times New Roman" w:eastAsia="Times New Roman"/>
        </w:rPr>
        <w:t>Establishing and maintaining a structured engagement model for interfacing with designated agency points of contact, in coordination with CPA's OCM team.</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r>
        <w:rPr>
          <w:rFonts w:ascii="Times New Roman" w:hAnsi="Times New Roman" w:cs="Times New Roman" w:eastAsia="Times New Roman"/>
        </w:rPr>
        <w:t>Supporting CPA by coordinating communications to agencies related to testing, training, and transition activities.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r>
        <w:rPr>
          <w:rFonts w:ascii="Times New Roman" w:hAnsi="Times New Roman" w:cs="Times New Roman" w:eastAsia="Times New Roman"/>
        </w:rPr>
        <w:t>Tracking agency readiness inputs include participation levels and escalation topics and synthesizing them for CPA review.</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r>
        <w:rPr>
          <w:rFonts w:ascii="Times New Roman" w:hAnsi="Times New Roman" w:cs="Times New Roman" w:eastAsia="Times New Roman"/>
        </w:rPr>
        <w:t>Facilitating feedback loops between agencies and CPA to surface readiness gaps, questions, and change impacts that CPA needs to address.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r>
        <w:rPr>
          <w:rFonts w:ascii="Times New Roman" w:hAnsi="Times New Roman" w:cs="Times New Roman" w:eastAsia="Times New Roman"/>
        </w:rPr>
        <w:t>Reinforcing CPA-approved guidance, timelines, and expectations to agency stakeholders.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w:t>
      </w:r>
      <w:r>
        <w:rPr>
          <w:rFonts w:ascii="Times New Roman" w:hAnsi="Times New Roman" w:cs="Times New Roman" w:eastAsia="Times New Roman"/>
        </w:rPr>
        <w:t>      </w:t>
      </w:r>
      <w:r>
        <w:rPr>
          <w:rFonts w:ascii="Times New Roman" w:hAnsi="Times New Roman" w:cs="Times New Roman" w:eastAsia="Times New Roman"/>
          <w:rStyle w:val="Strong"/>
        </w:rPr>
        <w:t>Change Management and Readiness Planning</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OCM Coordinators will execute change management and readiness activities as directed by the OCM Lead, using the methodology and tools established for this engagement. Scope includes, but is not limited to:</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r>
        <w:rPr>
          <w:rFonts w:ascii="Times New Roman" w:hAnsi="Times New Roman" w:cs="Times New Roman" w:eastAsia="Times New Roman"/>
        </w:rPr>
        <w:t>Tracking and updating agency-level readiness data across testing, training, and transition milestones, using tools and frameworks established by the OCM Lead.</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r>
        <w:rPr>
          <w:rFonts w:ascii="Times New Roman" w:hAnsi="Times New Roman" w:cs="Times New Roman" w:eastAsia="Times New Roman"/>
        </w:rPr>
        <w:t>Developing change and readiness artifacts (e.g., readiness checklists, agency communications, Q&amp;A content) aligned to CPA’s direction.</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r>
        <w:rPr>
          <w:rFonts w:ascii="Times New Roman" w:hAnsi="Times New Roman" w:cs="Times New Roman" w:eastAsia="Times New Roman"/>
        </w:rPr>
        <w:t>Monitoring and reporting on agency readiness risks and themes across the agency population.</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r>
        <w:rPr>
          <w:rFonts w:ascii="Times New Roman" w:hAnsi="Times New Roman" w:cs="Times New Roman" w:eastAsia="Times New Roman"/>
        </w:rPr>
        <w:t>Supporting Business Readiness Assessment data collection at defined project milestones as directed by the OCM Lead, including gathering agency participation data, distributing readiness surveys or checklists, and compiling results for the OCM Lead’s review and reporting.</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w:t>
      </w:r>
      <w:r>
        <w:rPr>
          <w:rFonts w:ascii="Times New Roman" w:hAnsi="Times New Roman" w:cs="Times New Roman" w:eastAsia="Times New Roman"/>
        </w:rPr>
        <w:t>      </w:t>
      </w:r>
      <w:r>
        <w:rPr>
          <w:rFonts w:ascii="Times New Roman" w:hAnsi="Times New Roman" w:cs="Times New Roman" w:eastAsia="Times New Roman"/>
          <w:rStyle w:val="Strong"/>
        </w:rPr>
        <w:t>User Acceptance Testing (UAT) Support</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OCM Coordinators will manage day-to-day agency logistics and communications related to UAT participation. The UAT population is anticipated to consist of approximately 500–600 participants across statewide agencies and institutions of higher education. Scope includes, but is not limited to:</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r>
        <w:rPr>
          <w:rFonts w:ascii="Times New Roman" w:hAnsi="Times New Roman" w:cs="Times New Roman" w:eastAsia="Times New Roman"/>
        </w:rPr>
        <w:t>Coordinating agency communications related to UAT schedules, roles, and expectations, as directed by CPA.</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r>
        <w:rPr>
          <w:rFonts w:ascii="Times New Roman" w:hAnsi="Times New Roman" w:cs="Times New Roman" w:eastAsia="Times New Roman"/>
        </w:rPr>
        <w:t>Supporting agencies in understanding UAT objectives, participation responsibilities, and escalation pathways.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r>
        <w:rPr>
          <w:rFonts w:ascii="Times New Roman" w:hAnsi="Times New Roman" w:cs="Times New Roman" w:eastAsia="Times New Roman"/>
        </w:rPr>
        <w:t>Attending CPA-led UAT coordination meetings as a standing participant. The selected Candidate's involvement in testing meetings is focused on coordinating external agency participation; system testing meetings led by CGI are outside this engagement's scope.</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r>
        <w:rPr>
          <w:rFonts w:ascii="Times New Roman" w:hAnsi="Times New Roman" w:cs="Times New Roman" w:eastAsia="Times New Roman"/>
        </w:rPr>
        <w:t>Tracking agency participation and UAT completion as a readiness indicator.</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r>
        <w:rPr>
          <w:rFonts w:ascii="Times New Roman" w:hAnsi="Times New Roman" w:cs="Times New Roman" w:eastAsia="Times New Roman"/>
        </w:rPr>
        <w:t>Supporting coordination of UAT-related artifacts and guidance, as directed.</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w:t>
      </w:r>
      <w:r>
        <w:rPr>
          <w:rFonts w:ascii="Times New Roman" w:hAnsi="Times New Roman" w:cs="Times New Roman" w:eastAsia="Times New Roman"/>
        </w:rPr>
        <w:t>      </w:t>
      </w:r>
      <w:r>
        <w:rPr>
          <w:rFonts w:ascii="Times New Roman" w:hAnsi="Times New Roman" w:cs="Times New Roman" w:eastAsia="Times New Roman"/>
          <w:rStyle w:val="Strong"/>
        </w:rPr>
        <w:t>Train-the-Trainer (TTT) Support</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OCM Coordinators will manage TTT logistics and agency communications under the OCM Lead’s direction. Scope includes, but is not limited to:</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r>
        <w:rPr>
          <w:rFonts w:ascii="Times New Roman" w:hAnsi="Times New Roman" w:cs="Times New Roman" w:eastAsia="Times New Roman"/>
        </w:rPr>
        <w:t>Supporting CPA in coordinating communications related to TTT schedules, materials, and trainer expectations.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r>
        <w:rPr>
          <w:rFonts w:ascii="Times New Roman" w:hAnsi="Times New Roman" w:cs="Times New Roman" w:eastAsia="Times New Roman"/>
        </w:rPr>
        <w:t>Reinforcing roles and responsibilities of agency trainers and CPA-provided training resources.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r>
        <w:rPr>
          <w:rFonts w:ascii="Times New Roman" w:hAnsi="Times New Roman" w:cs="Times New Roman" w:eastAsia="Times New Roman"/>
        </w:rPr>
        <w:t>Assisting with the dissemination and clarification of training materials developed by others.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r>
        <w:rPr>
          <w:rFonts w:ascii="Times New Roman" w:hAnsi="Times New Roman" w:cs="Times New Roman" w:eastAsia="Times New Roman"/>
        </w:rPr>
        <w:t>Collecting and summarizing agency feedback related to training preparedness and common issues.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w:t>
      </w:r>
      <w:r>
        <w:rPr>
          <w:rFonts w:ascii="Times New Roman" w:hAnsi="Times New Roman" w:cs="Times New Roman" w:eastAsia="Times New Roman"/>
        </w:rPr>
        <w:t>      </w:t>
      </w:r>
      <w:r>
        <w:rPr>
          <w:rFonts w:ascii="Times New Roman" w:hAnsi="Times New Roman" w:cs="Times New Roman" w:eastAsia="Times New Roman"/>
          <w:rStyle w:val="Strong"/>
        </w:rPr>
        <w:t>End User Training (EUT) Support</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OCM Coordinators will manage EUT logistics and agency outreach for the broader end-user population. Scope includes, but is not limited to:</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r>
        <w:rPr>
          <w:rFonts w:ascii="Times New Roman" w:hAnsi="Times New Roman" w:cs="Times New Roman" w:eastAsia="Times New Roman"/>
        </w:rPr>
        <w:t>Supporting CPA in coordinating EUT logistics, including scheduling, participant communications, and access to training environments as directed.</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r>
        <w:rPr>
          <w:rFonts w:ascii="Times New Roman" w:hAnsi="Times New Roman" w:cs="Times New Roman" w:eastAsia="Times New Roman"/>
        </w:rPr>
        <w:t>Assisting agencies in understanding EUT expectations, role-based training pathways, and how to access CPA-developed training materials.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r>
        <w:rPr>
          <w:rFonts w:ascii="Times New Roman" w:hAnsi="Times New Roman" w:cs="Times New Roman" w:eastAsia="Times New Roman"/>
        </w:rPr>
        <w:t>Tracking EUT participation and completion rates as a pre-go-live readiness indicator.</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r>
        <w:rPr>
          <w:rFonts w:ascii="Times New Roman" w:hAnsi="Times New Roman" w:cs="Times New Roman" w:eastAsia="Times New Roman"/>
        </w:rPr>
        <w:t>Collecting and summarizing agency feedback following training delivery to surface gaps or recurring issues for CPA review.</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w:t>
      </w:r>
      <w:r>
        <w:rPr>
          <w:rFonts w:ascii="Times New Roman" w:hAnsi="Times New Roman" w:cs="Times New Roman" w:eastAsia="Times New Roman"/>
        </w:rPr>
        <w:t>      </w:t>
      </w:r>
      <w:r>
        <w:rPr>
          <w:rFonts w:ascii="Times New Roman" w:hAnsi="Times New Roman" w:cs="Times New Roman" w:eastAsia="Times New Roman"/>
          <w:rStyle w:val="Strong"/>
        </w:rPr>
        <w:t>Communications Support</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OCM Coordinators will execute the communications plan as directed by the OCM Lead and CPA, drafting and distributing approved materials to agency stakeholders. Scope includes, but is not limited to:</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r>
        <w:rPr>
          <w:rFonts w:ascii="Times New Roman" w:hAnsi="Times New Roman" w:cs="Times New Roman" w:eastAsia="Times New Roman"/>
        </w:rPr>
        <w:t>Supporting the development and distribution of CPA-approved communications to agencies.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r>
        <w:rPr>
          <w:rFonts w:ascii="Times New Roman" w:hAnsi="Times New Roman" w:cs="Times New Roman" w:eastAsia="Times New Roman"/>
        </w:rPr>
        <w:t>Coordinating recurring updates related to testing, training, and transition milestones.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r>
        <w:rPr>
          <w:rFonts w:ascii="Times New Roman" w:hAnsi="Times New Roman" w:cs="Times New Roman" w:eastAsia="Times New Roman"/>
        </w:rPr>
        <w:t>Supporting Frequently Asked Questions (FAQ), talking points, and change-related messaging to address common agency questions.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r>
        <w:rPr>
          <w:rFonts w:ascii="Times New Roman" w:hAnsi="Times New Roman" w:cs="Times New Roman" w:eastAsia="Times New Roman"/>
        </w:rPr>
        <w:t>Maintaining a log of agency communications and escalations for traceability.</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w:t>
      </w:r>
      <w:r>
        <w:rPr>
          <w:rFonts w:ascii="Times New Roman" w:hAnsi="Times New Roman" w:cs="Times New Roman" w:eastAsia="Times New Roman"/>
        </w:rPr>
        <w:t>      </w:t>
      </w:r>
      <w:r>
        <w:rPr>
          <w:rFonts w:ascii="Times New Roman" w:hAnsi="Times New Roman" w:cs="Times New Roman" w:eastAsia="Times New Roman"/>
          <w:rStyle w:val="Strong"/>
        </w:rPr>
        <w:t>Reporting and Governance Support</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The selected Candidates will provide defined reporting to support visibility into agency readiness and transition risks. Periodic summary reports will be structured around four readiness dimensions: agency participation levels, communications effectiveness, training readiness, and agency/operational readiness. This framework aligns with the Business Readiness Assessment methodology described Change Management and Readiness Planning and enables consistent tracking of readiness trends across the engagement lifecycle. Scope includes, but is not limited to:</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r>
        <w:rPr>
          <w:rFonts w:ascii="Times New Roman" w:hAnsi="Times New Roman" w:cs="Times New Roman" w:eastAsia="Times New Roman"/>
        </w:rPr>
        <w:t>Contributing participation data, agency engagement inputs, and escalation logs to the OCM Lead’s monthly summary reports across the four readiness dimensions.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r>
        <w:rPr>
          <w:rFonts w:ascii="Times New Roman" w:hAnsi="Times New Roman" w:cs="Times New Roman" w:eastAsia="Times New Roman"/>
        </w:rPr>
        <w:t>Identifying and elevating systemic risks and issues within each dimension for CPA awareness and decision-making.</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r>
        <w:rPr>
          <w:rFonts w:ascii="Times New Roman" w:hAnsi="Times New Roman" w:cs="Times New Roman" w:eastAsia="Times New Roman"/>
        </w:rPr>
        <w:t>Producing pre-milestone readiness summaries in advance of key project events (e.g., UAT kickoff, TTT and EUT completion, go-live cutover). Each pre-milestone summary shall include: (a) a readiness assessment across the four dimensions; (b) a summary of open issues and pending agency actions; (c) participation gaps and recommended mitigation; and (d) a recommended readiness determination for CPA's consideration.</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r>
        <w:rPr>
          <w:rFonts w:ascii="Times New Roman" w:hAnsi="Times New Roman" w:cs="Times New Roman" w:eastAsia="Times New Roman"/>
        </w:rPr>
        <w:t>Supporting the OCM Lead in gathering agency input and documenting information needed to inform the agency-facing governance framework, as directed.</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r>
        <w:rPr>
          <w:rFonts w:ascii="Times New Roman" w:hAnsi="Times New Roman" w:cs="Times New Roman" w:eastAsia="Times New Roman"/>
        </w:rPr>
        <w:t>Providing a weekly status report to the CPA Contract Manager summarizing work completed, work in progress, and planned activities for the following week.</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r>
        <w:rPr>
          <w:rFonts w:ascii="Times New Roman" w:hAnsi="Times New Roman" w:cs="Times New Roman" w:eastAsia="Times New Roman"/>
        </w:rPr>
        <w:t>Reporting will focus on insights, trends, and actionable themes across the agency population rather than a detailed agency-by-agency performance assessment.</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w:t>
      </w:r>
      <w:r>
        <w:rPr>
          <w:rFonts w:ascii="Times New Roman" w:hAnsi="Times New Roman" w:cs="Times New Roman" w:eastAsia="Times New Roman"/>
        </w:rPr>
        <w:t>      </w:t>
      </w:r>
      <w:r>
        <w:rPr>
          <w:rFonts w:ascii="Times New Roman" w:hAnsi="Times New Roman" w:cs="Times New Roman" w:eastAsia="Times New Roman"/>
          <w:rStyle w:val="Strong"/>
        </w:rPr>
        <w:t>Performing other related Work as assigned.</w:t>
      </w:r>
    </w:p>
    <w:p>
      <w:pPr>
        <w:pStyle w:val="BodyText"/>
        <w:bidi w:val="0"/>
        <w:spacing w:before="0" w:after="0"/>
        <w:ind w:hanging="0" w:left="300" w:right="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Style w:val="Strong"/>
        </w:rPr>
        <w:t>II.  CANDIDATE SKILLS AND QUALIFICATIONS</w:t>
      </w:r>
    </w:p>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Pr>
      </w:r>
    </w:p>
    <w:tbl>
      <w:tblPr>
        <w:tblW w:w="4500" w:type="pct"/>
        <w:jc w:val="left"/>
        <w:tblLayout w:type="fixed"/>
        <w:tblCellMar>
          <w:top w:w="75" w:type="dxa"/>
          <w:left w:w="75" w:type="dxa"/>
          <w:bottom w:w="75" w:type="dxa"/>
          <w:right w:w="75" w:type="dxa"/>
        </w:tblCellMar>
      </w:tblPr>
      <w:tblGrid>
        <w:gridCol w:w="865"/>
        <w:gridCol w:w="1544"/>
        <w:gridCol w:w="6775"/>
      </w:tblGrid>
      <w:tr>
        <w:trPr/>
        <w:tc>
          <w:tcPr>
            <w:tcW w:w="9184" w:type="dxa"/>
            <w:gridSpan w:val="3"/>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Style w:val="Strong"/>
              </w:rPr>
              <w:t>Minimum Requirements:</w:t>
            </w:r>
            <w:r>
              <w:rPr>
                <w:rFonts w:ascii="Times New Roman" w:hAnsi="Times New Roman" w:cs="Times New Roman" w:eastAsia="Times New Roman"/>
              </w:rPr>
              <w:br/>
              <w:t xml:space="preserve">Candidates that do not meet or exceed the </w:t>
            </w:r>
            <w:r>
              <w:rPr>
                <w:rFonts w:ascii="Times New Roman" w:hAnsi="Times New Roman" w:cs="Times New Roman" w:eastAsia="Times New Roman"/>
                <w:rStyle w:val="Strong"/>
              </w:rPr>
              <w:t>minimum</w:t>
            </w:r>
            <w:r>
              <w:rPr>
                <w:rFonts w:ascii="Times New Roman" w:hAnsi="Times New Roman" w:cs="Times New Roman" w:eastAsia="Times New Roman"/>
              </w:rPr>
              <w:t xml:space="preserve"> stated requirements (skills/experience) will be displayed to customers but may not be chosen for this opportunity.</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Years</w:t>
            </w:r>
          </w:p>
        </w:tc>
        <w:tc>
          <w:tcPr>
            <w:tcW w:w="154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Required/Preferred</w:t>
            </w:r>
          </w:p>
        </w:tc>
        <w:tc>
          <w:tcPr>
            <w:tcW w:w="677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7</w:t>
            </w:r>
          </w:p>
        </w:tc>
        <w:tc>
          <w:tcPr>
            <w:tcW w:w="154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77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in program coordination, stakeholder communications, change management support, training logistics, or a directly related field.</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7</w:t>
            </w:r>
          </w:p>
        </w:tc>
        <w:tc>
          <w:tcPr>
            <w:tcW w:w="154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77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managing structured activities across multiple concurrent workstreams and a large, diverse stakeholder population, including tracking participation or engagement data, producing status reports, coordinating schedules and communications.</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5</w:t>
            </w:r>
          </w:p>
        </w:tc>
        <w:tc>
          <w:tcPr>
            <w:tcW w:w="154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77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coordinating user participation/communications for large-scale IT implementations, e.g., outreach to diverse stakeholders, maintain contact logs, drafting/distributing communications, FAQs, and talking points on behalf of a program.</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5</w:t>
            </w:r>
          </w:p>
        </w:tc>
        <w:tc>
          <w:tcPr>
            <w:tcW w:w="154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77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Extensive experience coordinating User Acceptance Testing (UAT), Train-the-Trainer (TTT), and End User Training (EUT) logistics for major system implementations, including scheduling, participant communications, and participation tracking.</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5</w:t>
            </w:r>
          </w:p>
        </w:tc>
        <w:tc>
          <w:tcPr>
            <w:tcW w:w="154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77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tracking/analyzing user readiness inputs, participation data, and escalation topics across a large population; identifying, documenting, escalating OCM risks/issues to program mgmt., and creating summary reports.</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5</w:t>
            </w:r>
          </w:p>
        </w:tc>
        <w:tc>
          <w:tcPr>
            <w:tcW w:w="154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77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maintaining coordination artifacts including communication logs, agency contact directories, participation trackers, and readiness reporting inputs in support of a OCM team.</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5</w:t>
            </w:r>
          </w:p>
        </w:tc>
        <w:tc>
          <w:tcPr>
            <w:tcW w:w="154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77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supporting large-scale technology implementations or enterprise system transitions in a coordination or liaison role.</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5</w:t>
            </w:r>
          </w:p>
        </w:tc>
        <w:tc>
          <w:tcPr>
            <w:tcW w:w="154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77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Texas public sector experience strongly preferred.</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5</w:t>
            </w:r>
          </w:p>
        </w:tc>
        <w:tc>
          <w:tcPr>
            <w:tcW w:w="154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77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Functional experience with CGI Advantage software, or equivalent application.</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5</w:t>
            </w:r>
          </w:p>
        </w:tc>
        <w:tc>
          <w:tcPr>
            <w:tcW w:w="154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77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with CPA’s legacy Statewide Financial Systems production support activities</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2</w:t>
            </w:r>
          </w:p>
        </w:tc>
        <w:tc>
          <w:tcPr>
            <w:tcW w:w="154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77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Working experience within a structured OCM framework (Prosci ADKAR, ACMP CCMP, or equivalent) as directed by a lead practitioner.</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2</w:t>
            </w:r>
          </w:p>
        </w:tc>
        <w:tc>
          <w:tcPr>
            <w:tcW w:w="154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775" w:type="dxa"/>
            <w:tcBorders>
              <w:top w:val="single" w:sz="2" w:space="0" w:color="000000"/>
              <w:left w:val="single" w:sz="2" w:space="0" w:color="000000"/>
              <w:bottom w:val="single" w:sz="2" w:space="0" w:color="000000"/>
              <w:right w:val="single" w:sz="2" w:space="0" w:color="000000"/>
            </w:tcBorders>
            <w:vAlign w:val="center"/>
          </w:tcPr>
          <w:p>
            <w:pPr>
              <w:pStyle w:val="TableContents"/>
              <w:widowControl w:val="false"/>
              <w:suppressLineNumbers/>
              <w:bidi w:val="0"/>
              <w:jc w:val="left"/>
              <w:rPr>
                <w:rFonts w:ascii="Times New Roman" w:hAnsi="Times New Roman" w:cs="Times New Roman" w:eastAsia="Times New Roman"/>
              </w:rPr>
            </w:pPr>
            <w:r>
              <w:rPr>
                <w:rFonts w:ascii="Times New Roman" w:hAnsi="Times New Roman" w:cs="Times New Roman" w:eastAsia="Times New Roman"/>
              </w:rPr>
              <w:t>Prosci certification, Certified Change Management Professional (CCMP), or Change Management Advanced Practitioner (CMAP) credential.</w:t>
            </w:r>
          </w:p>
        </w:tc>
      </w:tr>
    </w:tbl>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jc w:val="left"/>
        <w:rPr>
          <w:rFonts w:ascii="Times New Roman" w:hAnsi="Times New Roman" w:cs="Times New Roman" w:eastAsia="Times New Roman"/>
        </w:rPr>
      </w:pPr>
      <w:r>
        <w:rPr>
          <w:rFonts w:ascii="Times New Roman" w:hAnsi="Times New Roman" w:cs="Times New Roman" w:eastAsia="Times New Roman"/>
          <w:rStyle w:val="Strong"/>
        </w:rPr>
        <w:t>III.  TERMS OF SERVICE</w:t>
      </w:r>
    </w:p>
    <w:p>
      <w:pPr>
        <w:pStyle w:val="BodyText"/>
        <w:bidi w:val="0"/>
        <w:spacing w:before="0" w:after="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Services are expected to start </w:t>
      </w:r>
      <w:r>
        <w:rPr>
          <w:rFonts w:ascii="Times New Roman" w:hAnsi="Times New Roman" w:cs="Times New Roman" w:eastAsia="Times New Roman"/>
          <w:rStyle w:val="Strong"/>
        </w:rPr>
        <w:t>07/01/2026</w:t>
      </w:r>
      <w:r>
        <w:rPr>
          <w:rFonts w:ascii="Times New Roman" w:hAnsi="Times New Roman" w:cs="Times New Roman" w:eastAsia="Times New Roman"/>
        </w:rPr>
        <w:t xml:space="preserve"> and are expected to complete by </w:t>
      </w:r>
      <w:r>
        <w:rPr>
          <w:rFonts w:ascii="Times New Roman" w:hAnsi="Times New Roman" w:cs="Times New Roman" w:eastAsia="Times New Roman"/>
          <w:rStyle w:val="Strong"/>
        </w:rPr>
        <w:t>08/31/2027</w:t>
      </w:r>
      <w:r>
        <w:rPr>
          <w:rFonts w:ascii="Times New Roman" w:hAnsi="Times New Roman" w:cs="Times New Roman" w:eastAsia="Times New Roman"/>
        </w:rPr>
        <w:t xml:space="preserve">. Total estimated hours per Candidate shall not exceed </w:t>
      </w:r>
      <w:r>
        <w:rPr>
          <w:rFonts w:ascii="Times New Roman" w:hAnsi="Times New Roman" w:cs="Times New Roman" w:eastAsia="Times New Roman"/>
          <w:rStyle w:val="Strong"/>
        </w:rPr>
        <w:t>1920</w:t>
      </w:r>
      <w:r>
        <w:rPr>
          <w:rFonts w:ascii="Times New Roman" w:hAnsi="Times New Roman" w:cs="Times New Roman" w:eastAsia="Times New Roman"/>
        </w:rPr>
        <w:t xml:space="preserve"> hours. This service may be amended, renewed, and/or extended providing both parties agree to do so in writing.</w:t>
      </w:r>
    </w:p>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jc w:val="left"/>
        <w:rPr>
          <w:rFonts w:ascii="Times New Roman" w:hAnsi="Times New Roman" w:cs="Times New Roman" w:eastAsia="Times New Roman"/>
        </w:rPr>
      </w:pPr>
      <w:r>
        <w:rPr>
          <w:rFonts w:ascii="Times New Roman" w:hAnsi="Times New Roman" w:cs="Times New Roman" w:eastAsia="Times New Roman"/>
          <w:rStyle w:val="Strong"/>
        </w:rPr>
        <w:t>IV. WORK HOURS AND LOCATION</w:t>
      </w:r>
    </w:p>
    <w:p>
      <w:pPr>
        <w:pStyle w:val="BodyText"/>
        <w:bidi w:val="0"/>
        <w:spacing w:before="0" w:after="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Services shall be provided during normal business hours unless otherwise coordinated through the </w:t>
      </w:r>
      <w:r>
        <w:rPr>
          <w:rFonts w:ascii="Times New Roman" w:hAnsi="Times New Roman" w:cs="Times New Roman" w:eastAsia="Times New Roman"/>
          <w:rStyle w:val="Strong"/>
        </w:rPr>
        <w:t>Texas Comptroller of Public Accounts</w:t>
      </w:r>
      <w:r>
        <w:rPr>
          <w:rFonts w:ascii="Times New Roman" w:hAnsi="Times New Roman" w:cs="Times New Roman" w:eastAsia="Times New Roman"/>
        </w:rPr>
        <w:t xml:space="preserve">. Normal business hours are Monday through Friday from </w:t>
      </w:r>
      <w:r>
        <w:rPr>
          <w:rFonts w:ascii="Times New Roman" w:hAnsi="Times New Roman" w:cs="Times New Roman" w:eastAsia="Times New Roman"/>
          <w:rStyle w:val="Strong"/>
        </w:rPr>
        <w:t>8:00 AM to 5:00 PM</w:t>
      </w:r>
      <w:r>
        <w:rPr>
          <w:rFonts w:ascii="Times New Roman" w:hAnsi="Times New Roman" w:cs="Times New Roman" w:eastAsia="Times New Roman"/>
        </w:rPr>
        <w:t>, excluding State holidays when the agency is closed.</w:t>
        <w:br/>
        <w:br/>
        <w:t xml:space="preserve">The primary work location(s) will be at </w:t>
      </w:r>
      <w:r>
        <w:rPr>
          <w:rFonts w:ascii="Times New Roman" w:hAnsi="Times New Roman" w:cs="Times New Roman" w:eastAsia="Times New Roman"/>
          <w:rStyle w:val="Strong"/>
        </w:rPr>
        <w:t>Texas Comptroller of Public Accounts, LBJ State Office Building, 111 E. 17th Street, Austin, Texas 78774.</w:t>
      </w:r>
      <w:r>
        <w:rPr>
          <w:rFonts w:ascii="Times New Roman" w:hAnsi="Times New Roman" w:cs="Times New Roman" w:eastAsia="Times New Roman"/>
        </w:rPr>
        <w:t xml:space="preserve">. The working position is </w:t>
      </w:r>
      <w:r>
        <w:rPr>
          <w:rFonts w:ascii="Times New Roman" w:hAnsi="Times New Roman" w:cs="Times New Roman" w:eastAsia="Times New Roman"/>
          <w:rStyle w:val="Strong"/>
        </w:rPr>
        <w:t>Hybrid - On Site and Telework</w:t>
      </w:r>
      <w:r>
        <w:rPr>
          <w:rFonts w:ascii="Times New Roman" w:hAnsi="Times New Roman" w:cs="Times New Roman" w:eastAsia="Times New Roman"/>
        </w:rPr>
        <w:t>. Any and all travel, per diem, parking, and/or living expenses shall be at the Candidate's and/or Vendor's expense. </w:t>
      </w:r>
      <w:r>
        <w:rPr>
          <w:rFonts w:ascii="Times New Roman" w:hAnsi="Times New Roman" w:cs="Times New Roman" w:eastAsia="Times New Roman"/>
          <w:rStyle w:val="Strong"/>
        </w:rPr>
        <w:t>Texas Comptroller of Public Accounts</w:t>
      </w:r>
      <w:r>
        <w:rPr>
          <w:rFonts w:ascii="Times New Roman" w:hAnsi="Times New Roman" w:cs="Times New Roman" w:eastAsia="Times New Roman"/>
        </w:rPr>
        <w:t xml:space="preserve"> will provide pre-approved, written authorization for travel for any services to be performed away from the primary work location(s). Pre-approved travel expenses are limited to the rates and comply with the rules prescribed by the State of Texas for travel by its classified employees, including any requirement for original receipts.</w:t>
        <w:br/>
        <w:br/>
        <w:t xml:space="preserve">The Candidate(s) may be required to work outside the normal business hours on weekends, evenings and holidays, as requested. Payment for work over 40 hours will be at the hourly rate quoted and must be coordinated and pre-approved through </w:t>
      </w:r>
      <w:r>
        <w:rPr>
          <w:rFonts w:ascii="Times New Roman" w:hAnsi="Times New Roman" w:cs="Times New Roman" w:eastAsia="Times New Roman"/>
          <w:rStyle w:val="Strong"/>
        </w:rPr>
        <w:t>Texas Comptroller of Public Accounts</w:t>
      </w:r>
      <w:r>
        <w:rPr>
          <w:rFonts w:ascii="Times New Roman" w:hAnsi="Times New Roman" w:cs="Times New Roman" w:eastAsia="Times New Roman"/>
        </w:rPr>
        <w:t>.</w:t>
      </w:r>
    </w:p>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Style w:val="Strong"/>
        </w:rPr>
        <w:t>V.  OTHER SPECIAL REQUIREMENTS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w:t>
      </w:r>
      <w:r>
        <w:rPr>
          <w:rFonts w:ascii="Times New Roman" w:hAnsi="Times New Roman" w:cs="Times New Roman" w:eastAsia="Times New Roman"/>
        </w:rPr>
        <w:t>      Have experience in gathering business requirements for large projects.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w:t>
      </w:r>
      <w:r>
        <w:rPr>
          <w:rFonts w:ascii="Times New Roman" w:hAnsi="Times New Roman" w:cs="Times New Roman" w:eastAsia="Times New Roman"/>
        </w:rPr>
        <w:t>      Work independently in a diverse team environment with on-site and remote team members.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w:t>
      </w:r>
      <w:r>
        <w:rPr>
          <w:rFonts w:ascii="Times New Roman" w:hAnsi="Times New Roman" w:cs="Times New Roman" w:eastAsia="Times New Roman"/>
        </w:rPr>
        <w:t>      Have strong written, verbal, and interpersonal communication skills.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w:t>
      </w:r>
      <w:r>
        <w:rPr>
          <w:rFonts w:ascii="Times New Roman" w:hAnsi="Times New Roman" w:cs="Times New Roman" w:eastAsia="Times New Roman"/>
        </w:rPr>
        <w:t>      Have knowledge of project management methodologies.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w:t>
      </w:r>
      <w:r>
        <w:rPr>
          <w:rFonts w:ascii="Times New Roman" w:hAnsi="Times New Roman" w:cs="Times New Roman" w:eastAsia="Times New Roman"/>
        </w:rPr>
        <w:t>      Have experience with large-scale ERP or enterprise system implementations in a coordination or change management capacity.</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w:t>
      </w:r>
      <w:r>
        <w:rPr>
          <w:rFonts w:ascii="Times New Roman" w:hAnsi="Times New Roman" w:cs="Times New Roman" w:eastAsia="Times New Roman"/>
        </w:rPr>
        <w:t>      Have problem-solving skills and the ability to multitask, with readiness to put in extra efforts when necessary.</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w:t>
      </w:r>
      <w:r>
        <w:rPr>
          <w:rFonts w:ascii="Times New Roman" w:hAnsi="Times New Roman" w:cs="Times New Roman" w:eastAsia="Times New Roman"/>
        </w:rPr>
        <w:t>      Have experience with change management coordination across a large, geographically distributed stakeholder population.</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w:t>
      </w:r>
      <w:r>
        <w:rPr>
          <w:rFonts w:ascii="Times New Roman" w:hAnsi="Times New Roman" w:cs="Times New Roman" w:eastAsia="Times New Roman"/>
        </w:rPr>
        <w:t>      Have experience supporting UAT, Train-the-Trainer, or End User Training coordination activities for a major system implementation.</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w:t>
      </w:r>
      <w:r>
        <w:rPr>
          <w:rFonts w:ascii="Times New Roman" w:hAnsi="Times New Roman" w:cs="Times New Roman" w:eastAsia="Times New Roman"/>
        </w:rPr>
        <w:t>      While working on-site at CPA's location, the selected Vendor’s Candidate will be assigned a working location and provided information regarding parking that may be available to CPA contractors. </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w:t>
      </w:r>
      <w:r>
        <w:rPr>
          <w:rFonts w:ascii="Times New Roman" w:hAnsi="Times New Roman" w:cs="Times New Roman" w:eastAsia="Times New Roman"/>
        </w:rPr>
        <w:t>      CPA will not pay for any travel-related costs; any and all travel, per diem, parking, and/or living expenses shall be at the selected Vendor’s Candidate's and/or Vendor's expense.</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Strong"/>
          <w:u w:val="single"/>
        </w:rPr>
        <w:t>Work Hours</w:t>
      </w:r>
      <w:r>
        <w:rPr>
          <w:rFonts w:ascii="Times New Roman" w:hAnsi="Times New Roman" w:cs="Times New Roman" w:eastAsia="Times New Roman"/>
          <w:rStyle w:val="Strong"/>
        </w:rPr>
        <w:t>.</w:t>
      </w:r>
      <w:r>
        <w:rPr>
          <w:rFonts w:ascii="Times New Roman" w:hAnsi="Times New Roman" w:cs="Times New Roman" w:eastAsia="Times New Roman"/>
        </w:rPr>
        <w:t> CPA’s standard hours of operation are 8:00 a.m. to 5:00 p.m. CT, Monday through Friday. The current CPA workload estimates indicate that approximately one-hundred sixty (160) hours per month shall be required from each of the awarded Vendor's Candidate(s); the number of hours may be revised by CPA based on the negotiated and awarded hourly rate. The workload estimate is based on an eight (8) hour workday and a five (5) day work week. However, CPA anticipates that the Services to be provided by Candidate(s) will be conducted during any and/or all of the following, as requested by CPA: CPA's standard hours of operation, before-hours, after-hours, weekends, and holidays. The Candidate's work schedule must be approved in writing by the CPA Supervising Manager.</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Strong"/>
          <w:u w:val="single"/>
        </w:rPr>
        <w:t>Support for Vendor Invoicing</w:t>
      </w:r>
      <w:r>
        <w:rPr>
          <w:rFonts w:ascii="Times New Roman" w:hAnsi="Times New Roman" w:cs="Times New Roman" w:eastAsia="Times New Roman"/>
          <w:rStyle w:val="Strong"/>
        </w:rPr>
        <w:t>.</w:t>
      </w:r>
      <w:r>
        <w:rPr>
          <w:rFonts w:ascii="Times New Roman" w:hAnsi="Times New Roman" w:cs="Times New Roman" w:eastAsia="Times New Roman"/>
        </w:rPr>
        <w:t> On a weekly basis, each of Vendor’s personnel shall use CPA’s timekeeping system to record hours worked in providing Services for approval by the CPA Supervising Manager. The CPA Supervising Manager will provide its approval via CPA’s timekeeping system; a manual CPA signature is not required; also, CPA is not required to manually sign or approve any Vendor-provided timesheet. Vendor’s personnel shall provide its CPA approved timesheet reports to the Vendor to support the monthly invoice to CPA. Vendor shall submit the invoice to CPA, in accordance with the CPA PO, no later than the 15th calendar day of the month to support payment processing. Upon the completion of the Services under each Contract Term, Vendor shall confirm all invoices have been provided to CPA no later than October 31st.</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Strong"/>
          <w:u w:val="single"/>
        </w:rPr>
        <w:t>Selection and Award Requirements</w:t>
      </w:r>
      <w:r>
        <w:rPr>
          <w:rFonts w:ascii="Times New Roman" w:hAnsi="Times New Roman" w:cs="Times New Roman" w:eastAsia="Times New Roman"/>
          <w:rStyle w:val="Strong"/>
        </w:rPr>
        <w:t>.</w:t>
      </w:r>
      <w:r>
        <w:rPr>
          <w:rFonts w:ascii="Times New Roman" w:hAnsi="Times New Roman" w:cs="Times New Roman" w:eastAsia="Times New Roman"/>
        </w:rPr>
        <w:t xml:space="preserve"> As part of the Vendor’s Offer, and upon the request of CPA to support the interview process and/or selection of Candidate(s), Vendor shall provide the following, at a minimum: </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(1) Picture ID (Government). Vendor must provide a copy of the proposed Candidate's state Driver’s License/ID Card or US Government photo identification that indicates their full legal name. </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(2) Proposed Work Location and Schedule. Vendor must provide the proposed Candidate's preferred work location and work schedule. If the proposed work location is remote, the Vendor must provide the City and State of the proposed Candidate's primary remote location. </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(3) Disclosure of Separate Contract. In accordance with DIR’s ITSAC contract, Vendor must disclose whether the proposed Candidate is currently engaged in a separate contract to provide services of any kind to CPA and/or a different customer during the CPA Contract Term under the CPA contract resulting from this solicitation.</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Strong"/>
          <w:u w:val="single"/>
        </w:rPr>
        <w:t>Section Interview Process</w:t>
      </w:r>
      <w:r>
        <w:rPr>
          <w:rFonts w:ascii="Times New Roman" w:hAnsi="Times New Roman" w:cs="Times New Roman" w:eastAsia="Times New Roman"/>
          <w:rStyle w:val="Strong"/>
        </w:rPr>
        <w:t>. </w:t>
      </w:r>
      <w:r>
        <w:rPr>
          <w:rFonts w:ascii="Times New Roman" w:hAnsi="Times New Roman" w:cs="Times New Roman" w:eastAsia="Times New Roman"/>
        </w:rPr>
        <w:t xml:space="preserve">Upon the request of CPA, as applicable, Vendor shall be responsible for coordinating the interview between CPA and Vendor’s selected Candidate at a mutually agreeable date and time. At CPA's discretion, the interview, if any, may be conducted via teleconference with cameras on (e.g., Microsoft Teams) or on-site at CPA’s designated location. </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Strong"/>
          <w:u w:val="single"/>
        </w:rPr>
        <w:t>Onboarding of Selected Candidate</w:t>
      </w:r>
      <w:r>
        <w:rPr>
          <w:rFonts w:ascii="Times New Roman" w:hAnsi="Times New Roman" w:cs="Times New Roman" w:eastAsia="Times New Roman"/>
          <w:rStyle w:val="Strong"/>
        </w:rPr>
        <w:t>.</w:t>
      </w:r>
      <w:r>
        <w:rPr>
          <w:rFonts w:ascii="Times New Roman" w:hAnsi="Times New Roman" w:cs="Times New Roman" w:eastAsia="Times New Roman"/>
        </w:rPr>
        <w:t xml:space="preserve"> To support the onboarding of the Vendor’s selected Candidate, the following at a minimum applies: </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(1) Background Check, Prior to Award. In accordance with the provision in CPA’s Additional T&amp;Cs (Attachment A), the Vendor must attest that the background check has been performed and passed for the selected Candidate, and must disclose any felonies. The criminal background check shall be conducted at the Vendor's expense</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(2) Assignment of CPA Equipment, Upon Commencement of Services. Unless otherwise mutually agreed to between CPA and Vendor, upon commencement of the Services, regardless of the primary work location that may be agreed to between CPA and Vendor, the selected Vendor’s Candidate is required to come in person to CPA's designated location to meet with CPA's Supervising Manager and obtain the CPA equipment to perform the Services. As applicable, the awarded Vendor shall be fully responsible for all expenses related to the onboarding of the selected Vendor’s Candidate, which includes but is not limited to any and all travel, per diem, parking, shipping of CPA equipment, and/or living expenses.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Strong"/>
          <w:u w:val="single"/>
        </w:rPr>
        <w:t>Offboarding of Selected Candidate</w:t>
      </w:r>
      <w:r>
        <w:rPr>
          <w:rFonts w:ascii="Times New Roman" w:hAnsi="Times New Roman" w:cs="Times New Roman" w:eastAsia="Times New Roman"/>
          <w:rStyle w:val="Strong"/>
        </w:rPr>
        <w:t>.</w:t>
      </w:r>
      <w:r>
        <w:rPr>
          <w:rFonts w:ascii="Times New Roman" w:hAnsi="Times New Roman" w:cs="Times New Roman" w:eastAsia="Times New Roman"/>
        </w:rPr>
        <w:t xml:space="preserve"> Upon the resignation, expiration, or termination of the Services provided by the selected Vendor’s Candidate, Vendor shall be fully responsible for providing notification to CPA’s Contract Manager (capps.staff.aug@cpa.texas.gov), and shall coordinate the return of the CPA equipment with the CPA Contract Manager and/or CPA's Supervising Manager. As applicable, the awarded Vendor shall be fully responsible for all expenses related to the offboarding of the selected Vendor’s Candidate, which includes but is not limited to any and all travel, per diem, parking, shipping of CPA equipment, and/or living expenses.</w:t>
      </w:r>
    </w:p>
    <w:p w14:paraId="033D7DBB" w14:textId="77777777" w:rsidR="00FF1CF5" w:rsidRDefault="00000000">
      <w:pPr>
        <w:pageBreakBefore/>
        <w:divId w:val="869877843"/>
        <w:rPr>
          <w:rFonts w:eastAsia="Times New Roman"/>
        </w:rPr>
        <w:spacing w:before="0" w:after="0" w:line="240" w:lineRule="auto"/>
      </w:pPr>
      <w:r>
        <w:rPr>
          <w:rFonts w:eastAsia="Times New Roman"/>
        </w:rPr>
        <w:t> </w:t>
      </w:r>
    </w:p>
    <w:p w14:paraId="690D1692" w14:textId="77777777" w:rsidR="00FF1CF5" w:rsidRDefault="00000000">
      <w:pPr>
        <w:jc w:val="center"/>
        <w:divId w:val="1328751809"/>
        <w:rPr>
          <w:rFonts w:eastAsia="Times New Roman"/>
        </w:rPr>
      </w:pPr>
      <w:r>
        <w:rPr>
          <w:rStyle w:val="Strong"/>
          <w:rFonts w:eastAsia="Times New Roman"/>
        </w:rPr>
        <w:t>CANDIDATE REFERENCE</w:t>
      </w:r>
    </w:p>
    <w:p w14:paraId="3627BC41" w14:textId="77777777" w:rsidR="00FF1CF5" w:rsidRDefault="00000000">
      <w:pPr>
        <w:divId w:val="1328751809"/>
        <w:rPr>
          <w:rFonts w:eastAsia="Times New Roman"/>
        </w:rPr>
        <w:spacing w:before="0" w:after="0" w:line="240" w:lineRule="auto"/>
      </w:pPr>
      <w:r>
        <w:rPr>
          <w:rFonts w:eastAsia="Times New Roman"/>
        </w:rPr>
        <w:br/>
      </w:r>
    </w:p>
    <w:tbl>
      <w:tblPr>
        <w:tblW w:w="4671" w:type="pct"/>
        <w:tblCellSpacing w:w="0" w:type="dxa"/>
        <w:tblInd w:w="172" w:type="dxa"/>
        <w:tblCellMar>
          <w:top w:w="15" w:type="dxa"/>
          <w:left w:w="15" w:type="dxa"/>
          <w:bottom w:w="15" w:type="dxa"/>
          <w:right w:w="15" w:type="dxa"/>
        </w:tblCellMar>
        <w:tblLook w:val="04A0" w:firstRow="1" w:lastRow="0" w:firstColumn="1" w:lastColumn="0" w:noHBand="0" w:noVBand="1"/>
      </w:tblPr>
      <w:tblGrid>
        <w:gridCol w:w="3595"/>
        <w:gridCol w:w="5134"/>
      </w:tblGrid>
      <w:tr w:rsidR="00FF1CF5" w14:paraId="2DB1B58E" w14:textId="77777777" w:rsidTr="001B525D">
        <w:trPr>
          <w:divId w:val="1752124159"/>
          <w:tblCellSpacing w:w="0" w:type="dxa"/>
        </w:trPr>
        <w:tc>
          <w:tcPr>
            <w:tcW w:w="2059" w:type="pct"/>
            <w:tcBorders>
              <w:top w:val="single" w:sz="6" w:space="0" w:color="000000"/>
              <w:left w:val="single" w:sz="6" w:space="0" w:color="000000"/>
              <w:bottom w:val="single" w:sz="6" w:space="0" w:color="000000"/>
              <w:right w:val="single" w:sz="6" w:space="0" w:color="000000"/>
            </w:tcBorders>
            <w:vAlign w:val="center"/>
            <w:hideMark/>
          </w:tcPr>
          <w:p w14:paraId="2D6DD298" w14:textId="7F24387B" w:rsidR="00FF1CF5" w:rsidRDefault="001B525D">
            <w:pPr>
              <w:rPr>
                <w:rFonts w:ascii="Arial" w:eastAsia="Times New Roman" w:hAnsi="Arial" w:cs="Arial"/>
              </w:rPr>
            </w:pPr>
            <w:r>
              <w:rPr>
                <w:rFonts w:ascii="Arial" w:eastAsia="Times New Roman" w:hAnsi="Arial" w:cs="Arial"/>
              </w:rPr>
              <w:t>Solicitation Number: 304FM202710</w:t>
            </w:r>
          </w:p>
        </w:tc>
        <w:tc>
          <w:tcPr>
            <w:tcW w:w="2941" w:type="pct"/>
            <w:tcBorders>
              <w:top w:val="single" w:sz="6" w:space="0" w:color="000000"/>
              <w:left w:val="single" w:sz="6" w:space="0" w:color="000000"/>
              <w:bottom w:val="single" w:sz="6" w:space="0" w:color="000000"/>
              <w:right w:val="single" w:sz="6" w:space="0" w:color="000000"/>
            </w:tcBorders>
            <w:vAlign w:val="center"/>
            <w:hideMark/>
          </w:tcPr>
          <w:p w14:paraId="6934E7E9" w14:textId="676CE656" w:rsidR="00FF1CF5" w:rsidRDefault="001B525D">
            <w:pPr>
              <w:rPr>
                <w:rFonts w:ascii="Arial" w:eastAsia="Times New Roman" w:hAnsi="Arial" w:cs="Arial"/>
              </w:rPr>
            </w:pPr>
            <w:r>
              <w:rPr>
                <w:rFonts w:ascii="Arial" w:eastAsia="Times New Roman" w:hAnsi="Arial" w:cs="Arial"/>
              </w:rPr>
              <w:t>Title/Level: Change Management Manager/Organizational Change Management (OCM) Specialist</w:t>
            </w:r>
          </w:p>
        </w:tc>
      </w:tr>
      <w:tr w:rsidR="00FF1CF5" w14:paraId="0A17E973" w14:textId="77777777" w:rsidTr="001B525D">
        <w:trPr>
          <w:divId w:val="1752124159"/>
          <w:tblCellSpacing w:w="0" w:type="dxa"/>
        </w:trPr>
        <w:tc>
          <w:tcPr>
            <w:tcW w:w="2059" w:type="pct"/>
            <w:tcBorders>
              <w:top w:val="single" w:sz="6" w:space="0" w:color="000000"/>
              <w:left w:val="single" w:sz="6" w:space="0" w:color="000000"/>
              <w:bottom w:val="single" w:sz="6" w:space="0" w:color="000000"/>
              <w:right w:val="single" w:sz="6" w:space="0" w:color="000000"/>
            </w:tcBorders>
            <w:vAlign w:val="center"/>
            <w:hideMark/>
          </w:tcPr>
          <w:p w14:paraId="158ECF3F" w14:textId="57CD6EE5" w:rsidR="00FF1CF5" w:rsidRDefault="001B525D">
            <w:pPr>
              <w:rPr>
                <w:rFonts w:ascii="Arial" w:eastAsia="Times New Roman" w:hAnsi="Arial" w:cs="Arial"/>
              </w:rPr>
            </w:pPr>
            <w:r>
              <w:rPr>
                <w:rFonts w:ascii="Arial" w:eastAsia="Times New Roman" w:hAnsi="Arial" w:cs="Arial"/>
              </w:rPr>
              <w:t>Candidate Name:</w:t>
            </w:r>
          </w:p>
        </w:tc>
        <w:tc>
          <w:tcPr>
            <w:tcW w:w="2941" w:type="pct"/>
            <w:tcBorders>
              <w:top w:val="single" w:sz="6" w:space="0" w:color="000000"/>
              <w:left w:val="single" w:sz="6" w:space="0" w:color="000000"/>
              <w:bottom w:val="single" w:sz="6" w:space="0" w:color="000000"/>
              <w:right w:val="single" w:sz="6" w:space="0" w:color="000000"/>
            </w:tcBorders>
            <w:vAlign w:val="center"/>
            <w:hideMark/>
          </w:tcPr>
          <w:p w14:paraId="22B16261" w14:textId="4C800C83" w:rsidR="00FF1CF5" w:rsidRDefault="001B525D">
            <w:pPr>
              <w:rPr>
                <w:rFonts w:ascii="Arial" w:eastAsia="Times New Roman" w:hAnsi="Arial" w:cs="Arial"/>
              </w:rPr>
            </w:pPr>
            <w:r>
              <w:rPr>
                <w:rFonts w:ascii="Arial" w:eastAsia="Times New Roman" w:hAnsi="Arial" w:cs="Arial"/>
              </w:rPr>
              <w:t>Category: Information Technology Services Management (ITSM Operations)</w:t>
            </w:r>
          </w:p>
        </w:tc>
      </w:tr>
    </w:tbl>
    <w:p w14:paraId="52639BD2" w14:textId="77777777" w:rsidR="00FF1CF5" w:rsidRDefault="00FF1CF5">
      <w:pPr>
        <w:divId w:val="1328751809"/>
        <w:rPr>
          <w:rFonts w:eastAsia="Times New Roman"/>
        </w:rPr>
        <w:spacing w:before="0" w:after="0" w:line="240" w:lineRule="auto"/>
      </w:pPr>
    </w:p>
    <w:tbl>
      <w:tblPr>
        <w:tblW w:w="4500" w:type="pct"/>
        <w:tblInd w:w="360" w:type="dxa"/>
        <w:tblBorders>
          <w:insideH w:val="single" w:sz="4" w:space="0" w:color="auto"/>
        </w:tblBorders>
        <w:tblLook w:val="04A0" w:firstRow="1" w:lastRow="0" w:firstColumn="1" w:lastColumn="0" w:noHBand="0" w:noVBand="1"/>
      </w:tblPr>
      <w:tblGrid>
        <w:gridCol w:w="2880"/>
        <w:gridCol w:w="1620"/>
        <w:gridCol w:w="852"/>
        <w:gridCol w:w="3072"/>
      </w:tblGrid>
      <w:tr w:rsidR="00FF1CF5" w:rsidRPr="003B7287" w14:paraId="48A08D59" w14:textId="77777777" w:rsidTr="00832DFC">
        <w:trPr>
          <w:divId w:val="1328751809"/>
          <w:cantSplit/>
        </w:trPr>
        <w:tc>
          <w:tcPr>
            <w:tcW w:w="2880" w:type="dxa"/>
            <w:tcBorders>
              <w:top w:val="nil"/>
              <w:bottom w:val="nil"/>
            </w:tcBorders>
            <w:hideMark/>
          </w:tcPr>
          <w:p w14:paraId="525DA639" w14:textId="77777777" w:rsidR="00FF1CF5" w:rsidRPr="003B7287" w:rsidRDefault="00000000">
            <w:pPr>
              <w:pStyle w:val="PlainText"/>
              <w:rPr>
                <w:b/>
                <w:sz w:val="22"/>
                <w:szCs w:val="22"/>
              </w:rPr>
            </w:pPr>
            <w:r w:rsidRPr="003B7287">
              <w:rPr>
                <w:b/>
                <w:sz w:val="22"/>
                <w:szCs w:val="22"/>
                <w:rFonts w:ascii="Times New Roman" w:hAnsi="Times New Roman"/>
              </w:rPr>
              <w:t xml:space="preserve">Reference Name </w:t>
            </w:r>
            <w:r w:rsidRPr="003B7287">
              <w:rPr>
                <w:sz w:val="22"/>
                <w:szCs w:val="22"/>
                <w:rFonts w:ascii="Times New Roman" w:hAnsi="Times New Roman"/>
              </w:rPr>
              <w:t>(Required):</w:t>
            </w:r>
          </w:p>
        </w:tc>
        <w:tc>
          <w:tcPr>
            <w:tcW w:w="5544" w:type="dxa"/>
            <w:gridSpan w:val="3"/>
          </w:tcPr>
          <w:p w14:paraId="6DBEB7DD" w14:textId="77777777" w:rsidR="00FF1CF5" w:rsidRPr="003B7287" w:rsidRDefault="00FF1CF5">
            <w:pPr>
              <w:pStyle w:val="PlainText"/>
              <w:rPr>
                <w:sz w:val="22"/>
                <w:szCs w:val="22"/>
              </w:rPr>
            </w:pPr>
          </w:p>
        </w:tc>
      </w:tr>
      <w:tr w:rsidR="00FF1CF5" w:rsidRPr="003B7287" w14:paraId="6F3C8C15" w14:textId="77777777" w:rsidTr="00832DFC">
        <w:trPr>
          <w:divId w:val="1328751809"/>
          <w:trHeight w:val="197"/>
        </w:trPr>
        <w:tc>
          <w:tcPr>
            <w:tcW w:w="2880" w:type="dxa"/>
            <w:tcBorders>
              <w:top w:val="nil"/>
              <w:bottom w:val="nil"/>
            </w:tcBorders>
            <w:hideMark/>
          </w:tcPr>
          <w:p w14:paraId="525B771B" w14:textId="77777777" w:rsidR="00FF1CF5" w:rsidRPr="003B7287" w:rsidRDefault="00000000">
            <w:pPr>
              <w:pStyle w:val="PlainText"/>
              <w:rPr>
                <w:sz w:val="22"/>
                <w:szCs w:val="22"/>
              </w:rPr>
            </w:pPr>
            <w:r w:rsidRPr="003B7287">
              <w:rPr>
                <w:rStyle w:val="Strong"/>
                <w:sz w:val="22"/>
                <w:szCs w:val="22"/>
                <w:rFonts w:ascii="Times New Roman" w:hAnsi="Times New Roman"/>
              </w:rPr>
              <w:t>Title:</w:t>
            </w:r>
          </w:p>
        </w:tc>
        <w:tc>
          <w:tcPr>
            <w:tcW w:w="5544" w:type="dxa"/>
            <w:gridSpan w:val="3"/>
            <w:tcBorders>
              <w:top w:val="single" w:sz="4" w:space="0" w:color="auto"/>
              <w:left w:val="nil"/>
              <w:bottom w:val="single" w:sz="4" w:space="0" w:color="auto"/>
              <w:right w:val="nil"/>
            </w:tcBorders>
          </w:tcPr>
          <w:p w14:paraId="19F5369B" w14:textId="77777777" w:rsidR="00FF1CF5" w:rsidRPr="003B7287" w:rsidRDefault="00FF1CF5">
            <w:pPr>
              <w:pStyle w:val="PlainText"/>
              <w:rPr>
                <w:sz w:val="22"/>
                <w:szCs w:val="22"/>
              </w:rPr>
            </w:pPr>
          </w:p>
        </w:tc>
      </w:tr>
      <w:tr w:rsidR="00FF1CF5" w:rsidRPr="003B7287" w14:paraId="7F72FF13" w14:textId="77777777" w:rsidTr="00832DFC">
        <w:trPr>
          <w:divId w:val="1328751809"/>
        </w:trPr>
        <w:tc>
          <w:tcPr>
            <w:tcW w:w="2880" w:type="dxa"/>
            <w:tcBorders>
              <w:top w:val="nil"/>
              <w:bottom w:val="nil"/>
            </w:tcBorders>
            <w:hideMark/>
          </w:tcPr>
          <w:p w14:paraId="00D6EF2E" w14:textId="77777777" w:rsidR="00FF1CF5" w:rsidRPr="003B7287" w:rsidRDefault="00000000">
            <w:pPr>
              <w:pStyle w:val="PlainText"/>
              <w:rPr>
                <w:b/>
                <w:sz w:val="22"/>
                <w:szCs w:val="22"/>
              </w:rPr>
            </w:pPr>
            <w:r w:rsidRPr="003B7287">
              <w:rPr>
                <w:b/>
                <w:sz w:val="22"/>
                <w:szCs w:val="22"/>
                <w:rFonts w:ascii="Times New Roman" w:hAnsi="Times New Roman"/>
              </w:rPr>
              <w:t xml:space="preserve">Company Name </w:t>
            </w:r>
            <w:r w:rsidRPr="003B7287">
              <w:rPr>
                <w:sz w:val="22"/>
                <w:szCs w:val="22"/>
                <w:rFonts w:ascii="Times New Roman" w:hAnsi="Times New Roman"/>
              </w:rPr>
              <w:t>(Required):</w:t>
            </w:r>
          </w:p>
        </w:tc>
        <w:tc>
          <w:tcPr>
            <w:tcW w:w="5544" w:type="dxa"/>
            <w:gridSpan w:val="3"/>
            <w:tcBorders>
              <w:top w:val="nil"/>
              <w:left w:val="nil"/>
              <w:bottom w:val="single" w:sz="4" w:space="0" w:color="auto"/>
              <w:right w:val="nil"/>
            </w:tcBorders>
          </w:tcPr>
          <w:p w14:paraId="50A25A67" w14:textId="77777777" w:rsidR="00FF1CF5" w:rsidRPr="003B7287" w:rsidRDefault="00FF1CF5">
            <w:pPr>
              <w:pStyle w:val="PlainText"/>
              <w:rPr>
                <w:sz w:val="22"/>
                <w:szCs w:val="22"/>
              </w:rPr>
            </w:pPr>
          </w:p>
        </w:tc>
      </w:tr>
      <w:tr w:rsidR="00FF1CF5" w:rsidRPr="003B7287" w14:paraId="064B7533" w14:textId="77777777" w:rsidTr="00832DFC">
        <w:trPr>
          <w:divId w:val="1328751809"/>
        </w:trPr>
        <w:tc>
          <w:tcPr>
            <w:tcW w:w="4500" w:type="dxa"/>
            <w:gridSpan w:val="2"/>
            <w:tcBorders>
              <w:top w:val="nil"/>
              <w:bottom w:val="nil"/>
            </w:tcBorders>
            <w:hideMark/>
          </w:tcPr>
          <w:p w14:paraId="50C18813" w14:textId="77777777" w:rsidR="00FF1CF5" w:rsidRPr="003B7287" w:rsidRDefault="00000000">
            <w:pPr>
              <w:pStyle w:val="PlainText"/>
              <w:rPr>
                <w:sz w:val="22"/>
                <w:szCs w:val="22"/>
              </w:rPr>
            </w:pPr>
            <w:r w:rsidRPr="003B7287">
              <w:rPr>
                <w:b/>
                <w:sz w:val="22"/>
                <w:szCs w:val="22"/>
                <w:rFonts w:ascii="Times New Roman" w:hAnsi="Times New Roman"/>
              </w:rPr>
              <w:t xml:space="preserve">Phone Number </w:t>
            </w:r>
            <w:r w:rsidRPr="003B7287">
              <w:rPr>
                <w:sz w:val="22"/>
                <w:szCs w:val="22"/>
                <w:rFonts w:ascii="Times New Roman" w:hAnsi="Times New Roman"/>
              </w:rPr>
              <w:t>(Required include area code):</w:t>
            </w:r>
          </w:p>
        </w:tc>
        <w:tc>
          <w:tcPr>
            <w:tcW w:w="3924" w:type="dxa"/>
            <w:gridSpan w:val="2"/>
          </w:tcPr>
          <w:p w14:paraId="2B8E1F17" w14:textId="77777777" w:rsidR="00FF1CF5" w:rsidRPr="003B7287" w:rsidRDefault="00FF1CF5">
            <w:pPr>
              <w:pStyle w:val="PlainText"/>
              <w:rPr>
                <w:sz w:val="22"/>
                <w:szCs w:val="22"/>
              </w:rPr>
            </w:pPr>
          </w:p>
        </w:tc>
      </w:tr>
      <w:tr w:rsidR="00FF1CF5" w:rsidRPr="003B7287" w14:paraId="634B6137" w14:textId="77777777" w:rsidTr="00832DFC">
        <w:trPr>
          <w:divId w:val="1328751809"/>
        </w:trPr>
        <w:tc>
          <w:tcPr>
            <w:tcW w:w="2880" w:type="dxa"/>
            <w:tcBorders>
              <w:top w:val="nil"/>
              <w:bottom w:val="nil"/>
            </w:tcBorders>
            <w:hideMark/>
          </w:tcPr>
          <w:p w14:paraId="17DBCFB7"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E-mail Address: </w:t>
            </w:r>
          </w:p>
        </w:tc>
        <w:tc>
          <w:tcPr>
            <w:tcW w:w="5544" w:type="dxa"/>
            <w:gridSpan w:val="3"/>
            <w:tcBorders>
              <w:top w:val="single" w:sz="4" w:space="0" w:color="auto"/>
              <w:left w:val="nil"/>
              <w:bottom w:val="single" w:sz="4" w:space="0" w:color="auto"/>
              <w:right w:val="nil"/>
            </w:tcBorders>
          </w:tcPr>
          <w:p w14:paraId="66BC5D12" w14:textId="77777777" w:rsidR="00FF1CF5" w:rsidRPr="003B7287" w:rsidRDefault="00FF1CF5">
            <w:pPr>
              <w:pStyle w:val="PlainText"/>
              <w:rPr>
                <w:sz w:val="22"/>
                <w:szCs w:val="22"/>
              </w:rPr>
            </w:pPr>
          </w:p>
        </w:tc>
      </w:tr>
      <w:tr w:rsidR="00FF1CF5" w:rsidRPr="003B7287" w14:paraId="15662E89" w14:textId="77777777" w:rsidTr="00832DFC">
        <w:trPr>
          <w:divId w:val="1328751809"/>
        </w:trPr>
        <w:tc>
          <w:tcPr>
            <w:tcW w:w="5352" w:type="dxa"/>
            <w:gridSpan w:val="3"/>
            <w:tcBorders>
              <w:top w:val="nil"/>
              <w:bottom w:val="nil"/>
            </w:tcBorders>
            <w:hideMark/>
          </w:tcPr>
          <w:p w14:paraId="5DDD677A"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Professional Relationship: </w:t>
            </w:r>
          </w:p>
        </w:tc>
        <w:tc>
          <w:tcPr>
            <w:tcW w:w="3072" w:type="dxa"/>
          </w:tcPr>
          <w:p w14:paraId="11D78DC3" w14:textId="77777777" w:rsidR="00FF1CF5" w:rsidRPr="003B7287" w:rsidRDefault="00FF1CF5">
            <w:pPr>
              <w:pStyle w:val="PlainText"/>
              <w:rPr>
                <w:sz w:val="22"/>
                <w:szCs w:val="22"/>
              </w:rPr>
            </w:pPr>
          </w:p>
        </w:tc>
      </w:tr>
    </w:tbl>
    <w:p w14:paraId="0C13F632"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2240"/>
        <w:gridCol w:w="437"/>
        <w:gridCol w:w="2511"/>
        <w:gridCol w:w="437"/>
        <w:gridCol w:w="2358"/>
      </w:tblGrid>
      <w:tr w:rsidR="00FF1CF5" w:rsidRPr="003B7287" w14:paraId="1630D4DF" w14:textId="77777777">
        <w:trPr>
          <w:divId w:val="1328751809"/>
        </w:trPr>
        <w:tc>
          <w:tcPr>
            <w:tcW w:w="450" w:type="dxa"/>
            <w:tcBorders>
              <w:top w:val="single" w:sz="4" w:space="0" w:color="auto"/>
              <w:left w:val="single" w:sz="4" w:space="0" w:color="auto"/>
              <w:bottom w:val="single" w:sz="4" w:space="0" w:color="auto"/>
              <w:right w:val="nil"/>
            </w:tcBorders>
          </w:tcPr>
          <w:p w14:paraId="74D88705"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31C0C720" w14:textId="77777777" w:rsidR="00FF1CF5" w:rsidRPr="003B7287" w:rsidRDefault="00000000">
            <w:pPr>
              <w:pStyle w:val="PlainText"/>
              <w:rPr>
                <w:sz w:val="22"/>
                <w:szCs w:val="22"/>
              </w:rPr>
            </w:pPr>
            <w:r w:rsidRPr="003B7287">
              <w:rPr>
                <w:sz w:val="22"/>
                <w:szCs w:val="22"/>
                <w:rFonts w:ascii="Times New Roman" w:hAnsi="Times New Roman"/>
              </w:rPr>
              <w:t>Peer</w:t>
            </w:r>
          </w:p>
        </w:tc>
        <w:tc>
          <w:tcPr>
            <w:tcW w:w="450" w:type="dxa"/>
            <w:tcBorders>
              <w:top w:val="single" w:sz="4" w:space="0" w:color="auto"/>
              <w:left w:val="single" w:sz="4" w:space="0" w:color="auto"/>
              <w:bottom w:val="single" w:sz="4" w:space="0" w:color="auto"/>
              <w:right w:val="nil"/>
            </w:tcBorders>
          </w:tcPr>
          <w:p w14:paraId="4BA3D74A"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6787025B" w14:textId="77777777" w:rsidR="00FF1CF5" w:rsidRPr="003B7287" w:rsidRDefault="00000000">
            <w:pPr>
              <w:pStyle w:val="PlainText"/>
              <w:rPr>
                <w:sz w:val="22"/>
                <w:szCs w:val="22"/>
              </w:rPr>
            </w:pPr>
            <w:r w:rsidRPr="003B7287">
              <w:rPr>
                <w:sz w:val="22"/>
                <w:szCs w:val="22"/>
                <w:rFonts w:ascii="Times New Roman" w:hAnsi="Times New Roman"/>
              </w:rPr>
              <w:t>Co-Worker</w:t>
            </w:r>
          </w:p>
        </w:tc>
        <w:tc>
          <w:tcPr>
            <w:tcW w:w="450" w:type="dxa"/>
            <w:tcBorders>
              <w:top w:val="single" w:sz="4" w:space="0" w:color="auto"/>
              <w:left w:val="single" w:sz="4" w:space="0" w:color="auto"/>
              <w:bottom w:val="single" w:sz="4" w:space="0" w:color="auto"/>
              <w:right w:val="single" w:sz="4" w:space="0" w:color="auto"/>
            </w:tcBorders>
          </w:tcPr>
          <w:p w14:paraId="41723A0B"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5629A1CB" w14:textId="77777777" w:rsidR="00FF1CF5" w:rsidRPr="003B7287" w:rsidRDefault="00000000">
            <w:pPr>
              <w:pStyle w:val="PlainText"/>
              <w:rPr>
                <w:sz w:val="22"/>
                <w:szCs w:val="22"/>
              </w:rPr>
            </w:pPr>
            <w:r w:rsidRPr="003B7287">
              <w:rPr>
                <w:sz w:val="22"/>
                <w:szCs w:val="22"/>
                <w:rFonts w:ascii="Times New Roman" w:hAnsi="Times New Roman"/>
              </w:rPr>
              <w:t>Supervisor</w:t>
            </w:r>
          </w:p>
        </w:tc>
      </w:tr>
    </w:tbl>
    <w:p w14:paraId="6A63269B"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262"/>
        <w:gridCol w:w="436"/>
        <w:gridCol w:w="2490"/>
        <w:gridCol w:w="436"/>
        <w:gridCol w:w="2360"/>
      </w:tblGrid>
      <w:tr w:rsidR="00FF1CF5" w:rsidRPr="003B7287" w14:paraId="12E10BA3" w14:textId="77777777">
        <w:trPr>
          <w:divId w:val="1328751809"/>
        </w:trPr>
        <w:tc>
          <w:tcPr>
            <w:tcW w:w="450" w:type="dxa"/>
            <w:tcBorders>
              <w:top w:val="single" w:sz="4" w:space="0" w:color="auto"/>
              <w:left w:val="single" w:sz="4" w:space="0" w:color="auto"/>
              <w:bottom w:val="single" w:sz="4" w:space="0" w:color="auto"/>
              <w:right w:val="nil"/>
            </w:tcBorders>
          </w:tcPr>
          <w:p w14:paraId="78CCFFF7"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6B84AA01" w14:textId="77777777" w:rsidR="00FF1CF5" w:rsidRPr="003B7287" w:rsidRDefault="00000000">
            <w:pPr>
              <w:pStyle w:val="PlainText"/>
              <w:rPr>
                <w:sz w:val="22"/>
                <w:szCs w:val="22"/>
              </w:rPr>
            </w:pPr>
            <w:r w:rsidRPr="003B7287">
              <w:rPr>
                <w:sz w:val="22"/>
                <w:szCs w:val="22"/>
                <w:rFonts w:ascii="Times New Roman" w:hAnsi="Times New Roman"/>
              </w:rPr>
              <w:t>Customer</w:t>
            </w:r>
          </w:p>
        </w:tc>
        <w:tc>
          <w:tcPr>
            <w:tcW w:w="450" w:type="dxa"/>
            <w:tcBorders>
              <w:top w:val="single" w:sz="4" w:space="0" w:color="auto"/>
              <w:left w:val="single" w:sz="4" w:space="0" w:color="auto"/>
              <w:bottom w:val="single" w:sz="4" w:space="0" w:color="auto"/>
              <w:right w:val="nil"/>
            </w:tcBorders>
          </w:tcPr>
          <w:p w14:paraId="5B7ACB31"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10D2071F" w14:textId="77777777" w:rsidR="00FF1CF5" w:rsidRPr="003B7287" w:rsidRDefault="00000000">
            <w:pPr>
              <w:pStyle w:val="PlainText"/>
              <w:rPr>
                <w:sz w:val="22"/>
                <w:szCs w:val="22"/>
              </w:rPr>
            </w:pPr>
            <w:r w:rsidRPr="003B7287">
              <w:rPr>
                <w:sz w:val="22"/>
                <w:szCs w:val="22"/>
                <w:rFonts w:ascii="Times New Roman" w:hAnsi="Times New Roman"/>
              </w:rPr>
              <w:t>End-User</w:t>
            </w:r>
          </w:p>
        </w:tc>
        <w:tc>
          <w:tcPr>
            <w:tcW w:w="450" w:type="dxa"/>
            <w:tcBorders>
              <w:top w:val="single" w:sz="4" w:space="0" w:color="auto"/>
              <w:left w:val="single" w:sz="4" w:space="0" w:color="auto"/>
              <w:bottom w:val="single" w:sz="4" w:space="0" w:color="auto"/>
              <w:right w:val="single" w:sz="4" w:space="0" w:color="auto"/>
            </w:tcBorders>
          </w:tcPr>
          <w:p w14:paraId="6467EE73"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0233A8D8" w14:textId="77777777" w:rsidR="00FF1CF5" w:rsidRPr="003B7287" w:rsidRDefault="00000000">
            <w:pPr>
              <w:pStyle w:val="PlainText"/>
              <w:rPr>
                <w:sz w:val="22"/>
                <w:szCs w:val="22"/>
              </w:rPr>
            </w:pPr>
            <w:r w:rsidRPr="003B7287">
              <w:rPr>
                <w:sz w:val="22"/>
                <w:szCs w:val="22"/>
                <w:rFonts w:ascii="Times New Roman" w:hAnsi="Times New Roman"/>
              </w:rPr>
              <w:t>Subordinate</w:t>
            </w:r>
          </w:p>
        </w:tc>
      </w:tr>
    </w:tbl>
    <w:p w14:paraId="5E88234A" w14:textId="77777777" w:rsidR="00FF1CF5" w:rsidRPr="003B7287" w:rsidRDefault="00FF1CF5">
      <w:pPr>
        <w:divId w:val="1328751809"/>
        <w:rPr>
          <w:rFonts w:eastAsia="Times New Roman"/>
          <w:vanish/>
          <w:sz w:val="22"/>
          <w:szCs w:val="22"/>
        </w:rPr>
        <w:spacing w:before="0" w:after="0" w:line="240" w:lineRule="auto"/>
      </w:pPr>
    </w:p>
    <w:tbl>
      <w:tblPr>
        <w:tblW w:w="4500" w:type="pct"/>
        <w:tblInd w:w="360" w:type="dxa"/>
        <w:tblBorders>
          <w:insideH w:val="single" w:sz="4" w:space="0" w:color="auto"/>
        </w:tblBorders>
        <w:tblLook w:val="04A0" w:firstRow="1" w:lastRow="0" w:firstColumn="1" w:lastColumn="0" w:noHBand="0" w:noVBand="1"/>
      </w:tblPr>
      <w:tblGrid>
        <w:gridCol w:w="3053"/>
        <w:gridCol w:w="1447"/>
        <w:gridCol w:w="852"/>
        <w:gridCol w:w="3072"/>
      </w:tblGrid>
      <w:tr w:rsidR="00FF1CF5" w:rsidRPr="003B7287" w14:paraId="4F3B2839" w14:textId="77777777" w:rsidTr="001B525D">
        <w:trPr>
          <w:divId w:val="1328751809"/>
          <w:cantSplit/>
        </w:trPr>
        <w:tc>
          <w:tcPr>
            <w:tcW w:w="3053" w:type="dxa"/>
            <w:tcBorders>
              <w:top w:val="nil"/>
              <w:bottom w:val="nil"/>
            </w:tcBorders>
            <w:hideMark/>
          </w:tcPr>
          <w:p w14:paraId="29D7017E" w14:textId="77777777" w:rsidR="00832DFC" w:rsidRDefault="00832DFC">
            <w:pPr>
              <w:pStyle w:val="PlainText"/>
              <w:rPr>
                <w:b/>
                <w:sz w:val="22"/>
                <w:szCs w:val="22"/>
              </w:rPr>
            </w:pPr>
          </w:p>
          <w:p w14:paraId="27BEABC5" w14:textId="669E9F91" w:rsidR="00FF1CF5" w:rsidRPr="003B7287" w:rsidRDefault="00000000">
            <w:pPr>
              <w:pStyle w:val="PlainText"/>
              <w:rPr>
                <w:b/>
                <w:sz w:val="22"/>
                <w:szCs w:val="22"/>
              </w:rPr>
            </w:pPr>
            <w:r w:rsidRPr="003B7287">
              <w:rPr>
                <w:b/>
                <w:sz w:val="22"/>
                <w:szCs w:val="22"/>
                <w:rFonts w:ascii="Times New Roman" w:hAnsi="Times New Roman"/>
              </w:rPr>
              <w:t xml:space="preserve">Reference Name </w:t>
            </w:r>
            <w:r w:rsidRPr="003B7287">
              <w:rPr>
                <w:sz w:val="22"/>
                <w:szCs w:val="22"/>
                <w:rFonts w:ascii="Times New Roman" w:hAnsi="Times New Roman"/>
              </w:rPr>
              <w:t>(Required)</w:t>
            </w:r>
            <w:r w:rsidRPr="003B7287">
              <w:rPr>
                <w:b/>
                <w:sz w:val="22"/>
                <w:szCs w:val="22"/>
                <w:rFonts w:ascii="Times New Roman" w:hAnsi="Times New Roman"/>
              </w:rPr>
              <w:t>:</w:t>
            </w:r>
          </w:p>
        </w:tc>
        <w:tc>
          <w:tcPr>
            <w:tcW w:w="5371" w:type="dxa"/>
            <w:gridSpan w:val="3"/>
          </w:tcPr>
          <w:p w14:paraId="58D06EE5" w14:textId="77777777" w:rsidR="00FF1CF5" w:rsidRPr="003B7287" w:rsidRDefault="00FF1CF5">
            <w:pPr>
              <w:pStyle w:val="PlainText"/>
              <w:rPr>
                <w:sz w:val="22"/>
                <w:szCs w:val="22"/>
              </w:rPr>
            </w:pPr>
          </w:p>
        </w:tc>
      </w:tr>
      <w:tr w:rsidR="00FF1CF5" w:rsidRPr="003B7287" w14:paraId="6A593438" w14:textId="77777777" w:rsidTr="001B525D">
        <w:trPr>
          <w:divId w:val="1328751809"/>
          <w:trHeight w:val="197"/>
        </w:trPr>
        <w:tc>
          <w:tcPr>
            <w:tcW w:w="3053" w:type="dxa"/>
            <w:tcBorders>
              <w:top w:val="nil"/>
              <w:bottom w:val="nil"/>
            </w:tcBorders>
            <w:hideMark/>
          </w:tcPr>
          <w:p w14:paraId="2B82F52A" w14:textId="77777777" w:rsidR="00FF1CF5" w:rsidRPr="003B7287" w:rsidRDefault="00000000">
            <w:pPr>
              <w:pStyle w:val="PlainText"/>
              <w:rPr>
                <w:sz w:val="22"/>
                <w:szCs w:val="22"/>
              </w:rPr>
            </w:pPr>
            <w:r w:rsidRPr="003B7287">
              <w:rPr>
                <w:rStyle w:val="Strong"/>
                <w:sz w:val="22"/>
                <w:szCs w:val="22"/>
                <w:rFonts w:ascii="Times New Roman" w:hAnsi="Times New Roman"/>
              </w:rPr>
              <w:t>Title:</w:t>
            </w:r>
          </w:p>
        </w:tc>
        <w:tc>
          <w:tcPr>
            <w:tcW w:w="5371" w:type="dxa"/>
            <w:gridSpan w:val="3"/>
            <w:tcBorders>
              <w:top w:val="single" w:sz="4" w:space="0" w:color="auto"/>
              <w:left w:val="nil"/>
              <w:bottom w:val="single" w:sz="4" w:space="0" w:color="auto"/>
              <w:right w:val="nil"/>
            </w:tcBorders>
          </w:tcPr>
          <w:p w14:paraId="5A0419A8" w14:textId="77777777" w:rsidR="00FF1CF5" w:rsidRPr="003B7287" w:rsidRDefault="00FF1CF5">
            <w:pPr>
              <w:pStyle w:val="PlainText"/>
              <w:rPr>
                <w:sz w:val="22"/>
                <w:szCs w:val="22"/>
              </w:rPr>
            </w:pPr>
          </w:p>
        </w:tc>
      </w:tr>
      <w:tr w:rsidR="00FF1CF5" w:rsidRPr="003B7287" w14:paraId="245FD102" w14:textId="77777777" w:rsidTr="001B525D">
        <w:trPr>
          <w:divId w:val="1328751809"/>
        </w:trPr>
        <w:tc>
          <w:tcPr>
            <w:tcW w:w="3053" w:type="dxa"/>
            <w:tcBorders>
              <w:top w:val="nil"/>
              <w:bottom w:val="nil"/>
            </w:tcBorders>
            <w:hideMark/>
          </w:tcPr>
          <w:p w14:paraId="7B3541A6" w14:textId="77777777" w:rsidR="00FF1CF5" w:rsidRPr="003B7287" w:rsidRDefault="00000000">
            <w:pPr>
              <w:pStyle w:val="PlainText"/>
              <w:rPr>
                <w:b/>
                <w:sz w:val="22"/>
                <w:szCs w:val="22"/>
              </w:rPr>
            </w:pPr>
            <w:r w:rsidRPr="003B7287">
              <w:rPr>
                <w:b/>
                <w:sz w:val="22"/>
                <w:szCs w:val="22"/>
                <w:rFonts w:ascii="Times New Roman" w:hAnsi="Times New Roman"/>
              </w:rPr>
              <w:t xml:space="preserve">Company Name </w:t>
            </w:r>
            <w:r w:rsidRPr="003B7287">
              <w:rPr>
                <w:sz w:val="22"/>
                <w:szCs w:val="22"/>
                <w:rFonts w:ascii="Times New Roman" w:hAnsi="Times New Roman"/>
              </w:rPr>
              <w:t>(Required)</w:t>
            </w:r>
            <w:r w:rsidRPr="003B7287">
              <w:rPr>
                <w:b/>
                <w:sz w:val="22"/>
                <w:szCs w:val="22"/>
                <w:rFonts w:ascii="Times New Roman" w:hAnsi="Times New Roman"/>
              </w:rPr>
              <w:t>:</w:t>
            </w:r>
          </w:p>
        </w:tc>
        <w:tc>
          <w:tcPr>
            <w:tcW w:w="5371" w:type="dxa"/>
            <w:gridSpan w:val="3"/>
            <w:tcBorders>
              <w:top w:val="nil"/>
              <w:left w:val="nil"/>
              <w:bottom w:val="single" w:sz="4" w:space="0" w:color="auto"/>
              <w:right w:val="nil"/>
            </w:tcBorders>
          </w:tcPr>
          <w:p w14:paraId="4524806E" w14:textId="77777777" w:rsidR="00FF1CF5" w:rsidRPr="003B7287" w:rsidRDefault="00FF1CF5">
            <w:pPr>
              <w:pStyle w:val="PlainText"/>
              <w:rPr>
                <w:sz w:val="22"/>
                <w:szCs w:val="22"/>
              </w:rPr>
            </w:pPr>
          </w:p>
        </w:tc>
      </w:tr>
      <w:tr w:rsidR="00FF1CF5" w:rsidRPr="003B7287" w14:paraId="41394F40" w14:textId="77777777" w:rsidTr="001B525D">
        <w:trPr>
          <w:divId w:val="1328751809"/>
        </w:trPr>
        <w:tc>
          <w:tcPr>
            <w:tcW w:w="4500" w:type="dxa"/>
            <w:gridSpan w:val="2"/>
            <w:tcBorders>
              <w:top w:val="nil"/>
              <w:bottom w:val="nil"/>
            </w:tcBorders>
            <w:hideMark/>
          </w:tcPr>
          <w:p w14:paraId="11817E73" w14:textId="77777777" w:rsidR="00FF1CF5" w:rsidRPr="003B7287" w:rsidRDefault="00000000">
            <w:pPr>
              <w:pStyle w:val="PlainText"/>
              <w:rPr>
                <w:sz w:val="22"/>
                <w:szCs w:val="22"/>
              </w:rPr>
            </w:pPr>
            <w:r w:rsidRPr="003B7287">
              <w:rPr>
                <w:b/>
                <w:sz w:val="22"/>
                <w:szCs w:val="22"/>
                <w:rFonts w:ascii="Times New Roman" w:hAnsi="Times New Roman"/>
              </w:rPr>
              <w:t xml:space="preserve">Phone Number </w:t>
            </w:r>
            <w:r w:rsidRPr="003B7287">
              <w:rPr>
                <w:sz w:val="22"/>
                <w:szCs w:val="22"/>
                <w:rFonts w:ascii="Times New Roman" w:hAnsi="Times New Roman"/>
              </w:rPr>
              <w:t>(Required include area code):</w:t>
            </w:r>
          </w:p>
        </w:tc>
        <w:tc>
          <w:tcPr>
            <w:tcW w:w="3924" w:type="dxa"/>
            <w:gridSpan w:val="2"/>
          </w:tcPr>
          <w:p w14:paraId="2FDCB5DB" w14:textId="77777777" w:rsidR="00FF1CF5" w:rsidRPr="003B7287" w:rsidRDefault="00FF1CF5">
            <w:pPr>
              <w:pStyle w:val="PlainText"/>
              <w:rPr>
                <w:sz w:val="22"/>
                <w:szCs w:val="22"/>
              </w:rPr>
            </w:pPr>
          </w:p>
        </w:tc>
      </w:tr>
      <w:tr w:rsidR="00FF1CF5" w:rsidRPr="003B7287" w14:paraId="16182AB8" w14:textId="77777777" w:rsidTr="001B525D">
        <w:trPr>
          <w:divId w:val="1328751809"/>
        </w:trPr>
        <w:tc>
          <w:tcPr>
            <w:tcW w:w="3053" w:type="dxa"/>
            <w:tcBorders>
              <w:top w:val="nil"/>
              <w:bottom w:val="nil"/>
            </w:tcBorders>
            <w:hideMark/>
          </w:tcPr>
          <w:p w14:paraId="4EA22909"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E-mail Address: </w:t>
            </w:r>
          </w:p>
        </w:tc>
        <w:tc>
          <w:tcPr>
            <w:tcW w:w="5371" w:type="dxa"/>
            <w:gridSpan w:val="3"/>
            <w:tcBorders>
              <w:top w:val="single" w:sz="4" w:space="0" w:color="auto"/>
              <w:left w:val="nil"/>
              <w:bottom w:val="single" w:sz="4" w:space="0" w:color="auto"/>
              <w:right w:val="nil"/>
            </w:tcBorders>
          </w:tcPr>
          <w:p w14:paraId="3E0D0F7E" w14:textId="77777777" w:rsidR="00FF1CF5" w:rsidRPr="003B7287" w:rsidRDefault="00FF1CF5">
            <w:pPr>
              <w:pStyle w:val="PlainText"/>
              <w:rPr>
                <w:sz w:val="22"/>
                <w:szCs w:val="22"/>
              </w:rPr>
            </w:pPr>
          </w:p>
        </w:tc>
      </w:tr>
      <w:tr w:rsidR="00FF1CF5" w:rsidRPr="003B7287" w14:paraId="44F7821F" w14:textId="77777777" w:rsidTr="001B525D">
        <w:trPr>
          <w:divId w:val="1328751809"/>
          <w:trHeight w:val="57"/>
        </w:trPr>
        <w:tc>
          <w:tcPr>
            <w:tcW w:w="5352" w:type="dxa"/>
            <w:gridSpan w:val="3"/>
            <w:tcBorders>
              <w:top w:val="nil"/>
              <w:bottom w:val="nil"/>
            </w:tcBorders>
            <w:hideMark/>
          </w:tcPr>
          <w:p w14:paraId="382B956F"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Professional Relationship: </w:t>
            </w:r>
          </w:p>
        </w:tc>
        <w:tc>
          <w:tcPr>
            <w:tcW w:w="3072" w:type="dxa"/>
          </w:tcPr>
          <w:p w14:paraId="7B108CD3" w14:textId="77777777" w:rsidR="00FF1CF5" w:rsidRPr="003B7287" w:rsidRDefault="00FF1CF5">
            <w:pPr>
              <w:pStyle w:val="PlainText"/>
              <w:rPr>
                <w:sz w:val="22"/>
                <w:szCs w:val="22"/>
              </w:rPr>
            </w:pPr>
          </w:p>
        </w:tc>
      </w:tr>
    </w:tbl>
    <w:p w14:paraId="6647C8AF" w14:textId="77777777" w:rsidR="00FF1CF5" w:rsidRPr="003B7287" w:rsidRDefault="00FF1CF5">
      <w:pPr>
        <w:divId w:val="1328751809"/>
        <w:rPr>
          <w:rFonts w:eastAsia="Times New Roman"/>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2240"/>
        <w:gridCol w:w="437"/>
        <w:gridCol w:w="2511"/>
        <w:gridCol w:w="437"/>
        <w:gridCol w:w="2358"/>
      </w:tblGrid>
      <w:tr w:rsidR="00FF1CF5" w:rsidRPr="003B7287" w14:paraId="1A5199C9" w14:textId="77777777">
        <w:trPr>
          <w:divId w:val="1328751809"/>
        </w:trPr>
        <w:tc>
          <w:tcPr>
            <w:tcW w:w="450" w:type="dxa"/>
            <w:tcBorders>
              <w:top w:val="single" w:sz="4" w:space="0" w:color="auto"/>
              <w:left w:val="single" w:sz="4" w:space="0" w:color="auto"/>
              <w:bottom w:val="single" w:sz="4" w:space="0" w:color="auto"/>
              <w:right w:val="nil"/>
            </w:tcBorders>
          </w:tcPr>
          <w:p w14:paraId="6AEAD137"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4D691D8C" w14:textId="77777777" w:rsidR="00FF1CF5" w:rsidRPr="003B7287" w:rsidRDefault="00000000">
            <w:pPr>
              <w:pStyle w:val="PlainText"/>
              <w:rPr>
                <w:sz w:val="22"/>
                <w:szCs w:val="22"/>
              </w:rPr>
            </w:pPr>
            <w:r w:rsidRPr="003B7287">
              <w:rPr>
                <w:sz w:val="22"/>
                <w:szCs w:val="22"/>
                <w:rFonts w:ascii="Times New Roman" w:hAnsi="Times New Roman"/>
              </w:rPr>
              <w:t>Peer</w:t>
            </w:r>
          </w:p>
        </w:tc>
        <w:tc>
          <w:tcPr>
            <w:tcW w:w="450" w:type="dxa"/>
            <w:tcBorders>
              <w:top w:val="single" w:sz="4" w:space="0" w:color="auto"/>
              <w:left w:val="single" w:sz="4" w:space="0" w:color="auto"/>
              <w:bottom w:val="single" w:sz="4" w:space="0" w:color="auto"/>
              <w:right w:val="nil"/>
            </w:tcBorders>
          </w:tcPr>
          <w:p w14:paraId="549F535B"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7F4DBF8B" w14:textId="77777777" w:rsidR="00FF1CF5" w:rsidRPr="003B7287" w:rsidRDefault="00000000">
            <w:pPr>
              <w:pStyle w:val="PlainText"/>
              <w:rPr>
                <w:sz w:val="22"/>
                <w:szCs w:val="22"/>
              </w:rPr>
            </w:pPr>
            <w:r w:rsidRPr="003B7287">
              <w:rPr>
                <w:sz w:val="22"/>
                <w:szCs w:val="22"/>
                <w:rFonts w:ascii="Times New Roman" w:hAnsi="Times New Roman"/>
              </w:rPr>
              <w:t>Co-Worker</w:t>
            </w:r>
          </w:p>
        </w:tc>
        <w:tc>
          <w:tcPr>
            <w:tcW w:w="450" w:type="dxa"/>
            <w:tcBorders>
              <w:top w:val="single" w:sz="4" w:space="0" w:color="auto"/>
              <w:left w:val="single" w:sz="4" w:space="0" w:color="auto"/>
              <w:bottom w:val="single" w:sz="4" w:space="0" w:color="auto"/>
              <w:right w:val="single" w:sz="4" w:space="0" w:color="auto"/>
            </w:tcBorders>
          </w:tcPr>
          <w:p w14:paraId="64BA3081"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55E3AC30" w14:textId="77777777" w:rsidR="00FF1CF5" w:rsidRPr="003B7287" w:rsidRDefault="00000000">
            <w:pPr>
              <w:pStyle w:val="PlainText"/>
              <w:rPr>
                <w:sz w:val="22"/>
                <w:szCs w:val="22"/>
              </w:rPr>
            </w:pPr>
            <w:r w:rsidRPr="003B7287">
              <w:rPr>
                <w:sz w:val="22"/>
                <w:szCs w:val="22"/>
                <w:rFonts w:ascii="Times New Roman" w:hAnsi="Times New Roman"/>
              </w:rPr>
              <w:t>Supervisor</w:t>
            </w:r>
          </w:p>
        </w:tc>
      </w:tr>
    </w:tbl>
    <w:p w14:paraId="47858085"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262"/>
        <w:gridCol w:w="436"/>
        <w:gridCol w:w="2490"/>
        <w:gridCol w:w="436"/>
        <w:gridCol w:w="2360"/>
      </w:tblGrid>
      <w:tr w:rsidR="00FF1CF5" w:rsidRPr="003B7287" w14:paraId="67C57823" w14:textId="77777777">
        <w:trPr>
          <w:divId w:val="1328751809"/>
        </w:trPr>
        <w:tc>
          <w:tcPr>
            <w:tcW w:w="450" w:type="dxa"/>
            <w:tcBorders>
              <w:top w:val="single" w:sz="4" w:space="0" w:color="auto"/>
              <w:left w:val="single" w:sz="4" w:space="0" w:color="auto"/>
              <w:bottom w:val="single" w:sz="4" w:space="0" w:color="auto"/>
              <w:right w:val="nil"/>
            </w:tcBorders>
          </w:tcPr>
          <w:p w14:paraId="67A0599D"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0D9ABA13" w14:textId="77777777" w:rsidR="00FF1CF5" w:rsidRPr="003B7287" w:rsidRDefault="00000000">
            <w:pPr>
              <w:pStyle w:val="PlainText"/>
              <w:rPr>
                <w:sz w:val="22"/>
                <w:szCs w:val="22"/>
              </w:rPr>
            </w:pPr>
            <w:r w:rsidRPr="003B7287">
              <w:rPr>
                <w:sz w:val="22"/>
                <w:szCs w:val="22"/>
                <w:rFonts w:ascii="Times New Roman" w:hAnsi="Times New Roman"/>
              </w:rPr>
              <w:t>Customer</w:t>
            </w:r>
          </w:p>
        </w:tc>
        <w:tc>
          <w:tcPr>
            <w:tcW w:w="450" w:type="dxa"/>
            <w:tcBorders>
              <w:top w:val="single" w:sz="4" w:space="0" w:color="auto"/>
              <w:left w:val="single" w:sz="4" w:space="0" w:color="auto"/>
              <w:bottom w:val="single" w:sz="4" w:space="0" w:color="auto"/>
              <w:right w:val="nil"/>
            </w:tcBorders>
          </w:tcPr>
          <w:p w14:paraId="03E11CCF"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6E1AE3A0" w14:textId="77777777" w:rsidR="00FF1CF5" w:rsidRPr="003B7287" w:rsidRDefault="00000000">
            <w:pPr>
              <w:pStyle w:val="PlainText"/>
              <w:rPr>
                <w:sz w:val="22"/>
                <w:szCs w:val="22"/>
              </w:rPr>
            </w:pPr>
            <w:r w:rsidRPr="003B7287">
              <w:rPr>
                <w:sz w:val="22"/>
                <w:szCs w:val="22"/>
                <w:rFonts w:ascii="Times New Roman" w:hAnsi="Times New Roman"/>
              </w:rPr>
              <w:t>End-User</w:t>
            </w:r>
          </w:p>
        </w:tc>
        <w:tc>
          <w:tcPr>
            <w:tcW w:w="450" w:type="dxa"/>
            <w:tcBorders>
              <w:top w:val="single" w:sz="4" w:space="0" w:color="auto"/>
              <w:left w:val="single" w:sz="4" w:space="0" w:color="auto"/>
              <w:bottom w:val="single" w:sz="4" w:space="0" w:color="auto"/>
              <w:right w:val="single" w:sz="4" w:space="0" w:color="auto"/>
            </w:tcBorders>
          </w:tcPr>
          <w:p w14:paraId="189B5455"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19FF073D" w14:textId="77777777" w:rsidR="00FF1CF5" w:rsidRPr="003B7287" w:rsidRDefault="00000000">
            <w:pPr>
              <w:pStyle w:val="PlainText"/>
              <w:rPr>
                <w:sz w:val="22"/>
                <w:szCs w:val="22"/>
              </w:rPr>
            </w:pPr>
            <w:r w:rsidRPr="003B7287">
              <w:rPr>
                <w:sz w:val="22"/>
                <w:szCs w:val="22"/>
                <w:rFonts w:ascii="Times New Roman" w:hAnsi="Times New Roman"/>
              </w:rPr>
              <w:t>Subordinate</w:t>
            </w:r>
          </w:p>
        </w:tc>
      </w:tr>
    </w:tbl>
    <w:p w14:paraId="1D9ED3C6" w14:textId="77777777" w:rsidR="00FF1CF5" w:rsidRPr="003B7287" w:rsidRDefault="00FF1CF5">
      <w:pPr>
        <w:divId w:val="1328751809"/>
        <w:rPr>
          <w:rFonts w:eastAsia="Times New Roman"/>
          <w:vanish/>
          <w:sz w:val="22"/>
          <w:szCs w:val="22"/>
        </w:rPr>
        <w:spacing w:before="0" w:after="0" w:line="240" w:lineRule="auto"/>
      </w:pPr>
    </w:p>
    <w:tbl>
      <w:tblPr>
        <w:tblW w:w="4500" w:type="pct"/>
        <w:tblInd w:w="360" w:type="dxa"/>
        <w:tblBorders>
          <w:insideH w:val="single" w:sz="4" w:space="0" w:color="auto"/>
        </w:tblBorders>
        <w:tblLook w:val="04A0" w:firstRow="1" w:lastRow="0" w:firstColumn="1" w:lastColumn="0" w:noHBand="0" w:noVBand="1"/>
      </w:tblPr>
      <w:tblGrid>
        <w:gridCol w:w="3053"/>
        <w:gridCol w:w="1447"/>
        <w:gridCol w:w="852"/>
        <w:gridCol w:w="3072"/>
      </w:tblGrid>
      <w:tr w:rsidR="00FF1CF5" w:rsidRPr="003B7287" w14:paraId="1F5ADDC0" w14:textId="77777777" w:rsidTr="001B525D">
        <w:trPr>
          <w:divId w:val="1328751809"/>
          <w:cantSplit/>
        </w:trPr>
        <w:tc>
          <w:tcPr>
            <w:tcW w:w="3053" w:type="dxa"/>
            <w:tcBorders>
              <w:top w:val="nil"/>
              <w:bottom w:val="nil"/>
            </w:tcBorders>
            <w:hideMark/>
          </w:tcPr>
          <w:p w14:paraId="56BB32F4" w14:textId="77777777" w:rsidR="001B525D" w:rsidRDefault="001B525D">
            <w:pPr>
              <w:pStyle w:val="PlainText"/>
              <w:rPr>
                <w:b/>
                <w:sz w:val="22"/>
                <w:szCs w:val="22"/>
              </w:rPr>
            </w:pPr>
          </w:p>
          <w:p w14:paraId="712F0C79" w14:textId="276131AB" w:rsidR="00FF1CF5" w:rsidRPr="003B7287" w:rsidRDefault="00000000">
            <w:pPr>
              <w:pStyle w:val="PlainText"/>
              <w:rPr>
                <w:b/>
                <w:sz w:val="22"/>
                <w:szCs w:val="22"/>
              </w:rPr>
            </w:pPr>
            <w:r w:rsidRPr="003B7287">
              <w:rPr>
                <w:b/>
                <w:sz w:val="22"/>
                <w:szCs w:val="22"/>
                <w:rFonts w:ascii="Times New Roman" w:hAnsi="Times New Roman"/>
              </w:rPr>
              <w:t xml:space="preserve">Reference Name </w:t>
            </w:r>
            <w:r w:rsidRPr="003B7287">
              <w:rPr>
                <w:sz w:val="22"/>
                <w:szCs w:val="22"/>
                <w:rFonts w:ascii="Times New Roman" w:hAnsi="Times New Roman"/>
              </w:rPr>
              <w:t>(Required)</w:t>
            </w:r>
            <w:r w:rsidRPr="003B7287">
              <w:rPr>
                <w:b/>
                <w:sz w:val="22"/>
                <w:szCs w:val="22"/>
                <w:rFonts w:ascii="Times New Roman" w:hAnsi="Times New Roman"/>
              </w:rPr>
              <w:t>:</w:t>
            </w:r>
          </w:p>
        </w:tc>
        <w:tc>
          <w:tcPr>
            <w:tcW w:w="5371" w:type="dxa"/>
            <w:gridSpan w:val="3"/>
          </w:tcPr>
          <w:p w14:paraId="34FE6AFB" w14:textId="77777777" w:rsidR="00FF1CF5" w:rsidRPr="003B7287" w:rsidRDefault="00FF1CF5">
            <w:pPr>
              <w:pStyle w:val="PlainText"/>
              <w:rPr>
                <w:sz w:val="22"/>
                <w:szCs w:val="22"/>
              </w:rPr>
            </w:pPr>
          </w:p>
        </w:tc>
      </w:tr>
      <w:tr w:rsidR="00FF1CF5" w:rsidRPr="003B7287" w14:paraId="5CF0BEFC" w14:textId="77777777" w:rsidTr="001B525D">
        <w:trPr>
          <w:divId w:val="1328751809"/>
          <w:trHeight w:val="197"/>
        </w:trPr>
        <w:tc>
          <w:tcPr>
            <w:tcW w:w="3053" w:type="dxa"/>
            <w:tcBorders>
              <w:top w:val="nil"/>
              <w:bottom w:val="nil"/>
            </w:tcBorders>
            <w:hideMark/>
          </w:tcPr>
          <w:p w14:paraId="7BF9DBEC" w14:textId="77777777" w:rsidR="00FF1CF5" w:rsidRPr="003B7287" w:rsidRDefault="00000000">
            <w:pPr>
              <w:pStyle w:val="PlainText"/>
              <w:rPr>
                <w:sz w:val="22"/>
                <w:szCs w:val="22"/>
              </w:rPr>
            </w:pPr>
            <w:r w:rsidRPr="003B7287">
              <w:rPr>
                <w:rStyle w:val="Strong"/>
                <w:sz w:val="22"/>
                <w:szCs w:val="22"/>
                <w:rFonts w:ascii="Times New Roman" w:hAnsi="Times New Roman"/>
              </w:rPr>
              <w:t>Title:</w:t>
            </w:r>
          </w:p>
        </w:tc>
        <w:tc>
          <w:tcPr>
            <w:tcW w:w="5371" w:type="dxa"/>
            <w:gridSpan w:val="3"/>
            <w:tcBorders>
              <w:top w:val="single" w:sz="4" w:space="0" w:color="auto"/>
              <w:left w:val="nil"/>
              <w:bottom w:val="single" w:sz="4" w:space="0" w:color="auto"/>
              <w:right w:val="nil"/>
            </w:tcBorders>
          </w:tcPr>
          <w:p w14:paraId="3B76F062" w14:textId="77777777" w:rsidR="00FF1CF5" w:rsidRPr="003B7287" w:rsidRDefault="00FF1CF5">
            <w:pPr>
              <w:pStyle w:val="PlainText"/>
              <w:rPr>
                <w:sz w:val="22"/>
                <w:szCs w:val="22"/>
              </w:rPr>
            </w:pPr>
          </w:p>
        </w:tc>
      </w:tr>
      <w:tr w:rsidR="00FF1CF5" w:rsidRPr="003B7287" w14:paraId="4FF351D0" w14:textId="77777777" w:rsidTr="001B525D">
        <w:trPr>
          <w:divId w:val="1328751809"/>
        </w:trPr>
        <w:tc>
          <w:tcPr>
            <w:tcW w:w="3053" w:type="dxa"/>
            <w:tcBorders>
              <w:top w:val="nil"/>
              <w:bottom w:val="nil"/>
            </w:tcBorders>
            <w:hideMark/>
          </w:tcPr>
          <w:p w14:paraId="1ADBAC28" w14:textId="77777777" w:rsidR="00FF1CF5" w:rsidRPr="003B7287" w:rsidRDefault="00000000">
            <w:pPr>
              <w:pStyle w:val="PlainText"/>
              <w:rPr>
                <w:b/>
                <w:sz w:val="22"/>
                <w:szCs w:val="22"/>
              </w:rPr>
            </w:pPr>
            <w:r w:rsidRPr="003B7287">
              <w:rPr>
                <w:b/>
                <w:sz w:val="22"/>
                <w:szCs w:val="22"/>
                <w:rFonts w:ascii="Times New Roman" w:hAnsi="Times New Roman"/>
              </w:rPr>
              <w:t xml:space="preserve">Company Name </w:t>
            </w:r>
            <w:r w:rsidRPr="003B7287">
              <w:rPr>
                <w:sz w:val="22"/>
                <w:szCs w:val="22"/>
                <w:rFonts w:ascii="Times New Roman" w:hAnsi="Times New Roman"/>
              </w:rPr>
              <w:t>(Required)</w:t>
            </w:r>
            <w:r w:rsidRPr="003B7287">
              <w:rPr>
                <w:b/>
                <w:sz w:val="22"/>
                <w:szCs w:val="22"/>
                <w:rFonts w:ascii="Times New Roman" w:hAnsi="Times New Roman"/>
              </w:rPr>
              <w:t>:</w:t>
            </w:r>
          </w:p>
        </w:tc>
        <w:tc>
          <w:tcPr>
            <w:tcW w:w="5371" w:type="dxa"/>
            <w:gridSpan w:val="3"/>
            <w:tcBorders>
              <w:top w:val="nil"/>
              <w:left w:val="nil"/>
              <w:bottom w:val="single" w:sz="4" w:space="0" w:color="auto"/>
              <w:right w:val="nil"/>
            </w:tcBorders>
          </w:tcPr>
          <w:p w14:paraId="78682F81" w14:textId="77777777" w:rsidR="00FF1CF5" w:rsidRPr="003B7287" w:rsidRDefault="00FF1CF5">
            <w:pPr>
              <w:pStyle w:val="PlainText"/>
              <w:rPr>
                <w:sz w:val="22"/>
                <w:szCs w:val="22"/>
              </w:rPr>
            </w:pPr>
          </w:p>
        </w:tc>
      </w:tr>
      <w:tr w:rsidR="00FF1CF5" w:rsidRPr="003B7287" w14:paraId="21B499D9" w14:textId="77777777" w:rsidTr="001B525D">
        <w:trPr>
          <w:divId w:val="1328751809"/>
        </w:trPr>
        <w:tc>
          <w:tcPr>
            <w:tcW w:w="4500" w:type="dxa"/>
            <w:gridSpan w:val="2"/>
            <w:tcBorders>
              <w:top w:val="nil"/>
              <w:bottom w:val="nil"/>
            </w:tcBorders>
            <w:hideMark/>
          </w:tcPr>
          <w:p w14:paraId="4D89DF64" w14:textId="77777777" w:rsidR="00FF1CF5" w:rsidRPr="003B7287" w:rsidRDefault="00000000">
            <w:pPr>
              <w:pStyle w:val="PlainText"/>
              <w:rPr>
                <w:sz w:val="22"/>
                <w:szCs w:val="22"/>
              </w:rPr>
            </w:pPr>
            <w:r w:rsidRPr="003B7287">
              <w:rPr>
                <w:b/>
                <w:sz w:val="22"/>
                <w:szCs w:val="22"/>
                <w:rFonts w:ascii="Times New Roman" w:hAnsi="Times New Roman"/>
              </w:rPr>
              <w:t xml:space="preserve">Phone Number </w:t>
            </w:r>
            <w:r w:rsidRPr="003B7287">
              <w:rPr>
                <w:sz w:val="22"/>
                <w:szCs w:val="22"/>
                <w:rFonts w:ascii="Times New Roman" w:hAnsi="Times New Roman"/>
              </w:rPr>
              <w:t>(Required include area code):</w:t>
            </w:r>
          </w:p>
        </w:tc>
        <w:tc>
          <w:tcPr>
            <w:tcW w:w="3924" w:type="dxa"/>
            <w:gridSpan w:val="2"/>
          </w:tcPr>
          <w:p w14:paraId="3D4BD845" w14:textId="77777777" w:rsidR="00FF1CF5" w:rsidRPr="003B7287" w:rsidRDefault="00FF1CF5">
            <w:pPr>
              <w:pStyle w:val="PlainText"/>
              <w:rPr>
                <w:sz w:val="22"/>
                <w:szCs w:val="22"/>
              </w:rPr>
            </w:pPr>
          </w:p>
        </w:tc>
      </w:tr>
      <w:tr w:rsidR="00FF1CF5" w:rsidRPr="003B7287" w14:paraId="22F6CF61" w14:textId="77777777" w:rsidTr="001B525D">
        <w:trPr>
          <w:divId w:val="1328751809"/>
        </w:trPr>
        <w:tc>
          <w:tcPr>
            <w:tcW w:w="3053" w:type="dxa"/>
            <w:tcBorders>
              <w:top w:val="nil"/>
              <w:bottom w:val="nil"/>
            </w:tcBorders>
            <w:hideMark/>
          </w:tcPr>
          <w:p w14:paraId="287ED7F3"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E-mail Address: </w:t>
            </w:r>
          </w:p>
        </w:tc>
        <w:tc>
          <w:tcPr>
            <w:tcW w:w="5371" w:type="dxa"/>
            <w:gridSpan w:val="3"/>
            <w:tcBorders>
              <w:top w:val="single" w:sz="4" w:space="0" w:color="auto"/>
              <w:left w:val="nil"/>
              <w:bottom w:val="single" w:sz="4" w:space="0" w:color="auto"/>
              <w:right w:val="nil"/>
            </w:tcBorders>
          </w:tcPr>
          <w:p w14:paraId="252F4F02" w14:textId="77777777" w:rsidR="00FF1CF5" w:rsidRPr="003B7287" w:rsidRDefault="00FF1CF5">
            <w:pPr>
              <w:pStyle w:val="PlainText"/>
              <w:rPr>
                <w:sz w:val="22"/>
                <w:szCs w:val="22"/>
              </w:rPr>
            </w:pPr>
          </w:p>
        </w:tc>
      </w:tr>
      <w:tr w:rsidR="00FF1CF5" w:rsidRPr="003B7287" w14:paraId="3CF127EE" w14:textId="77777777" w:rsidTr="001B525D">
        <w:trPr>
          <w:divId w:val="1328751809"/>
        </w:trPr>
        <w:tc>
          <w:tcPr>
            <w:tcW w:w="5352" w:type="dxa"/>
            <w:gridSpan w:val="3"/>
            <w:tcBorders>
              <w:top w:val="nil"/>
              <w:bottom w:val="nil"/>
            </w:tcBorders>
            <w:hideMark/>
          </w:tcPr>
          <w:p w14:paraId="717E72EF"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Professional Relationship: </w:t>
            </w:r>
          </w:p>
        </w:tc>
        <w:tc>
          <w:tcPr>
            <w:tcW w:w="3072" w:type="dxa"/>
          </w:tcPr>
          <w:p w14:paraId="1B0C2B98" w14:textId="77777777" w:rsidR="00FF1CF5" w:rsidRPr="003B7287" w:rsidRDefault="00FF1CF5">
            <w:pPr>
              <w:pStyle w:val="PlainText"/>
              <w:rPr>
                <w:sz w:val="22"/>
                <w:szCs w:val="22"/>
              </w:rPr>
            </w:pPr>
          </w:p>
        </w:tc>
      </w:tr>
    </w:tbl>
    <w:p w14:paraId="0A95BAC4"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2240"/>
        <w:gridCol w:w="437"/>
        <w:gridCol w:w="2511"/>
        <w:gridCol w:w="437"/>
        <w:gridCol w:w="2358"/>
      </w:tblGrid>
      <w:tr w:rsidR="00FF1CF5" w:rsidRPr="003B7287" w14:paraId="412EAAF5" w14:textId="77777777">
        <w:trPr>
          <w:divId w:val="1328751809"/>
        </w:trPr>
        <w:tc>
          <w:tcPr>
            <w:tcW w:w="450" w:type="dxa"/>
            <w:tcBorders>
              <w:top w:val="single" w:sz="4" w:space="0" w:color="auto"/>
              <w:left w:val="single" w:sz="4" w:space="0" w:color="auto"/>
              <w:bottom w:val="single" w:sz="4" w:space="0" w:color="auto"/>
              <w:right w:val="nil"/>
            </w:tcBorders>
          </w:tcPr>
          <w:p w14:paraId="2D2ABADC"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5B4F529A" w14:textId="77777777" w:rsidR="00FF1CF5" w:rsidRPr="003B7287" w:rsidRDefault="00000000">
            <w:pPr>
              <w:pStyle w:val="PlainText"/>
              <w:rPr>
                <w:sz w:val="22"/>
                <w:szCs w:val="22"/>
              </w:rPr>
            </w:pPr>
            <w:r w:rsidRPr="003B7287">
              <w:rPr>
                <w:sz w:val="22"/>
                <w:szCs w:val="22"/>
                <w:rFonts w:ascii="Times New Roman" w:hAnsi="Times New Roman"/>
              </w:rPr>
              <w:t>Peer</w:t>
            </w:r>
          </w:p>
        </w:tc>
        <w:tc>
          <w:tcPr>
            <w:tcW w:w="450" w:type="dxa"/>
            <w:tcBorders>
              <w:top w:val="single" w:sz="4" w:space="0" w:color="auto"/>
              <w:left w:val="single" w:sz="4" w:space="0" w:color="auto"/>
              <w:bottom w:val="single" w:sz="4" w:space="0" w:color="auto"/>
              <w:right w:val="nil"/>
            </w:tcBorders>
          </w:tcPr>
          <w:p w14:paraId="0D20BF21"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3C511F05" w14:textId="77777777" w:rsidR="00FF1CF5" w:rsidRPr="003B7287" w:rsidRDefault="00000000">
            <w:pPr>
              <w:pStyle w:val="PlainText"/>
              <w:rPr>
                <w:sz w:val="22"/>
                <w:szCs w:val="22"/>
              </w:rPr>
            </w:pPr>
            <w:r w:rsidRPr="003B7287">
              <w:rPr>
                <w:sz w:val="22"/>
                <w:szCs w:val="22"/>
                <w:rFonts w:ascii="Times New Roman" w:hAnsi="Times New Roman"/>
              </w:rPr>
              <w:t>Co-Worker</w:t>
            </w:r>
          </w:p>
        </w:tc>
        <w:tc>
          <w:tcPr>
            <w:tcW w:w="450" w:type="dxa"/>
            <w:tcBorders>
              <w:top w:val="single" w:sz="4" w:space="0" w:color="auto"/>
              <w:left w:val="single" w:sz="4" w:space="0" w:color="auto"/>
              <w:bottom w:val="single" w:sz="4" w:space="0" w:color="auto"/>
              <w:right w:val="single" w:sz="4" w:space="0" w:color="auto"/>
            </w:tcBorders>
          </w:tcPr>
          <w:p w14:paraId="0F1FC7FB"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51478E65" w14:textId="77777777" w:rsidR="00FF1CF5" w:rsidRPr="003B7287" w:rsidRDefault="00000000">
            <w:pPr>
              <w:pStyle w:val="PlainText"/>
              <w:rPr>
                <w:sz w:val="22"/>
                <w:szCs w:val="22"/>
              </w:rPr>
            </w:pPr>
            <w:r w:rsidRPr="003B7287">
              <w:rPr>
                <w:sz w:val="22"/>
                <w:szCs w:val="22"/>
                <w:rFonts w:ascii="Times New Roman" w:hAnsi="Times New Roman"/>
              </w:rPr>
              <w:t>Supervisor</w:t>
            </w:r>
          </w:p>
        </w:tc>
      </w:tr>
    </w:tbl>
    <w:p w14:paraId="366152EB"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262"/>
        <w:gridCol w:w="436"/>
        <w:gridCol w:w="2490"/>
        <w:gridCol w:w="436"/>
        <w:gridCol w:w="2360"/>
      </w:tblGrid>
      <w:tr w:rsidR="00FF1CF5" w:rsidRPr="003B7287" w14:paraId="278C4E0D" w14:textId="77777777">
        <w:trPr>
          <w:divId w:val="1328751809"/>
        </w:trPr>
        <w:tc>
          <w:tcPr>
            <w:tcW w:w="450" w:type="dxa"/>
            <w:tcBorders>
              <w:top w:val="single" w:sz="4" w:space="0" w:color="auto"/>
              <w:left w:val="single" w:sz="4" w:space="0" w:color="auto"/>
              <w:bottom w:val="single" w:sz="4" w:space="0" w:color="auto"/>
              <w:right w:val="nil"/>
            </w:tcBorders>
          </w:tcPr>
          <w:p w14:paraId="4EB6DA03"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57D67A5B" w14:textId="77777777" w:rsidR="00FF1CF5" w:rsidRPr="003B7287" w:rsidRDefault="00000000">
            <w:pPr>
              <w:pStyle w:val="PlainText"/>
              <w:rPr>
                <w:sz w:val="22"/>
                <w:szCs w:val="22"/>
              </w:rPr>
            </w:pPr>
            <w:r w:rsidRPr="003B7287">
              <w:rPr>
                <w:sz w:val="22"/>
                <w:szCs w:val="22"/>
                <w:rFonts w:ascii="Times New Roman" w:hAnsi="Times New Roman"/>
              </w:rPr>
              <w:t>Customer</w:t>
            </w:r>
          </w:p>
        </w:tc>
        <w:tc>
          <w:tcPr>
            <w:tcW w:w="450" w:type="dxa"/>
            <w:tcBorders>
              <w:top w:val="single" w:sz="4" w:space="0" w:color="auto"/>
              <w:left w:val="single" w:sz="4" w:space="0" w:color="auto"/>
              <w:bottom w:val="single" w:sz="4" w:space="0" w:color="auto"/>
              <w:right w:val="nil"/>
            </w:tcBorders>
          </w:tcPr>
          <w:p w14:paraId="5A20EA05"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3BBEB069" w14:textId="77777777" w:rsidR="00FF1CF5" w:rsidRPr="003B7287" w:rsidRDefault="00000000">
            <w:pPr>
              <w:pStyle w:val="PlainText"/>
              <w:rPr>
                <w:sz w:val="22"/>
                <w:szCs w:val="22"/>
              </w:rPr>
            </w:pPr>
            <w:r w:rsidRPr="003B7287">
              <w:rPr>
                <w:sz w:val="22"/>
                <w:szCs w:val="22"/>
                <w:rFonts w:ascii="Times New Roman" w:hAnsi="Times New Roman"/>
              </w:rPr>
              <w:t>End-User</w:t>
            </w:r>
          </w:p>
        </w:tc>
        <w:tc>
          <w:tcPr>
            <w:tcW w:w="450" w:type="dxa"/>
            <w:tcBorders>
              <w:top w:val="single" w:sz="4" w:space="0" w:color="auto"/>
              <w:left w:val="single" w:sz="4" w:space="0" w:color="auto"/>
              <w:bottom w:val="single" w:sz="4" w:space="0" w:color="auto"/>
              <w:right w:val="single" w:sz="4" w:space="0" w:color="auto"/>
            </w:tcBorders>
          </w:tcPr>
          <w:p w14:paraId="1D8289E2"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33F05F7F" w14:textId="77777777" w:rsidR="00FF1CF5" w:rsidRPr="003B7287" w:rsidRDefault="00000000">
            <w:pPr>
              <w:pStyle w:val="PlainText"/>
              <w:rPr>
                <w:sz w:val="22"/>
                <w:szCs w:val="22"/>
              </w:rPr>
            </w:pPr>
            <w:r w:rsidRPr="003B7287">
              <w:rPr>
                <w:sz w:val="22"/>
                <w:szCs w:val="22"/>
                <w:rFonts w:ascii="Times New Roman" w:hAnsi="Times New Roman"/>
              </w:rPr>
              <w:t>Subordinate</w:t>
            </w:r>
          </w:p>
        </w:tc>
      </w:tr>
    </w:tbl>
    <w:p w14:paraId="4C9B0411" w14:textId="77777777" w:rsidR="00FF1CF5" w:rsidRDefault="00FF1CF5">
      <w:pPr>
        <w:pStyle w:val="PlainText"/>
        <w:divId w:val="1127234326"/>
        <w:rPr>
          <w:rFonts w:ascii="Arial" w:hAnsi="Arial" w:cs="Arial"/>
        </w:rPr>
        <w:spacing w:before="0" w:after="0" w:line="240" w:lineRule="auto"/>
      </w:pPr>
    </w:p>
    <w:p w14:paraId="71F7D49E" w14:textId="77777777" w:rsidR="00FF1CF5" w:rsidRDefault="00000000">
      <w:pPr>
        <w:pStyle w:val="PlainText"/>
        <w:jc w:val="both"/>
        <w:divId w:val="1127234326"/>
        <w:rPr>
          <w:rFonts w:ascii="Arial" w:hAnsi="Arial" w:cs="Arial"/>
          <w:b/>
          <w:sz w:val="22"/>
          <w:szCs w:val="22"/>
        </w:rPr>
      </w:pPr>
      <w:r>
        <w:rPr>
          <w:rFonts w:ascii="Arial" w:hAnsi="Arial" w:cs="Arial"/>
          <w:b/>
        </w:rPr>
        <w:t>NOTE: ONLY INCLUDE THE INFORMATION REQUESTED ON THIS FORM. DO NOT INCLUDE ADDITIONAL INFORMATION.</w:t>
      </w:r>
    </w:p>
    <w:p w14:paraId="4BA4A670" w14:textId="77777777" w:rsidR="00FF1CF5" w:rsidRDefault="00FF1CF5">
      <w:pPr>
        <w:pStyle w:val="PlainText"/>
        <w:jc w:val="both"/>
        <w:divId w:val="1127234326"/>
        <w:rPr>
          <w:rFonts w:ascii="Arial" w:hAnsi="Arial" w:cs="Arial"/>
          <w:b/>
          <w:sz w:val="22"/>
          <w:szCs w:val="22"/>
        </w:rPr>
        <w:spacing w:before="0" w:after="0" w:line="240" w:lineRule="auto"/>
      </w:pPr>
    </w:p>
    <w:p w14:paraId="0EC11069" w14:textId="77777777" w:rsidR="00754E22" w:rsidRDefault="00754E22">
      <w:pPr>
        <w:divId w:val="774253364"/>
        <w:rPr>
          <w:rFonts w:eastAsia="Times New Roman"/>
        </w:rPr>
        <w:spacing w:before="0" w:after="0" w:line="240" w:lineRule="auto"/>
      </w:pPr>
    </w:p>
    <w:p>
      <w:pPr>
        <w:pStyle w:val="BodyText"/>
        <w:pageBreakBefore/>
        <w:bidi w:val="0"/>
        <w:spacing w:before="0" w:after="0"/>
        <w:ind w:hanging="0" w:left="0" w:right="0"/>
        <w:jc w:val="center"/>
        <w:rPr>
          <w:rFonts w:ascii="Times New Roman" w:hAnsi="Times New Roman" w:cs="Times New Roman" w:eastAsia="Times New Roman"/>
        </w:rPr>
      </w:pPr>
      <w:r>
        <w:rPr>
          <w:rFonts w:ascii="Times New Roman" w:hAnsi="Times New Roman" w:cs="Times New Roman" w:eastAsia="Times New Roman"/>
          <w:rStyle w:val="Strong"/>
        </w:rPr>
        <w:t>CANDIDATE QUALIFICATIONS</w:t>
      </w:r>
    </w:p>
    <w:p/>
    <w:tbl>
      <w:tblPr>
        <w:tblW w:w="4500" w:type="pct"/>
        <w:jc w:val="left"/>
        <w:tblLayout w:type="fixed"/>
        <w:tblCellMar>
          <w:top w:w="28" w:type="dxa"/>
          <w:left w:w="28" w:type="dxa"/>
          <w:bottom w:w="28" w:type="dxa"/>
          <w:right w:w="28" w:type="dxa"/>
        </w:tblCellMar>
      </w:tblPr>
      <w:tblGrid>
        <w:gridCol w:w="2853"/>
        <w:gridCol w:w="6331"/>
      </w:tblGrid>
      <w:tr>
        <w:trPr/>
        <w:tc>
          <w:tcPr>
            <w:tcW w:w="285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Solicitation Number: 304FM202710</w:t>
            </w:r>
          </w:p>
        </w:tc>
        <w:tc>
          <w:tcPr>
            <w:tcW w:w="633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xml:space="preserve">Title/Level: Change Management Manager/Organizational Change Management (OCM) Specialist </w:t>
            </w:r>
          </w:p>
        </w:tc>
      </w:tr>
      <w:tr>
        <w:trPr/>
        <w:tc>
          <w:tcPr>
            <w:tcW w:w="285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Candidate Name:</w:t>
            </w:r>
          </w:p>
        </w:tc>
        <w:tc>
          <w:tcPr>
            <w:tcW w:w="6331" w:type="dxa"/>
            <w:tcBorders>
              <w:top w:val="single" w:sz="2" w:space="0" w:color="000000"/>
              <w:left w:val="single" w:sz="2" w:space="0" w:color="000000"/>
              <w:bottom w:val="single" w:sz="2" w:space="0" w:color="000000"/>
              <w:right w:val="single" w:sz="2" w:space="0" w:color="000000"/>
            </w:tcBorders>
            <w:vAlign w:val="center"/>
          </w:tcPr>
          <w:p>
            <w:pPr>
              <w:pStyle w:val="TableContents"/>
              <w:widowControl w:val="false"/>
              <w:suppressLineNumbers/>
              <w:bidi w:val="0"/>
              <w:jc w:val="left"/>
              <w:rPr>
                <w:rFonts w:ascii="Times New Roman" w:hAnsi="Times New Roman" w:cs="Times New Roman" w:eastAsia="Times New Roman"/>
              </w:rPr>
            </w:pPr>
            <w:r>
              <w:rPr>
                <w:rFonts w:ascii="Times New Roman" w:hAnsi="Times New Roman" w:cs="Times New Roman" w:eastAsia="Times New Roman"/>
              </w:rPr>
              <w:t>Category: Information Technology Services Management (ITSM Operations)</w:t>
            </w:r>
          </w:p>
        </w:tc>
      </w:tr>
    </w:tbl>
    <w:p/>
    <w:tbl>
      <w:tblPr>
        <w:tblW w:w="4500" w:type="pct"/>
        <w:jc w:val="left"/>
        <w:tblLayout w:type="fixed"/>
        <w:tblCellMar>
          <w:top w:w="75" w:type="dxa"/>
          <w:left w:w="75" w:type="dxa"/>
          <w:bottom w:w="75" w:type="dxa"/>
          <w:right w:w="75" w:type="dxa"/>
        </w:tblCellMar>
      </w:tblPr>
      <w:tblGrid>
        <w:gridCol w:w="1554"/>
        <w:gridCol w:w="1540"/>
        <w:gridCol w:w="1368"/>
        <w:gridCol w:w="4722"/>
      </w:tblGrid>
      <w:tr>
        <w:trPr/>
        <w:tc>
          <w:tcPr>
            <w:tcW w:w="9184" w:type="dxa"/>
            <w:gridSpan w:val="4"/>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Style w:val="Strong"/>
              </w:rPr>
              <w:t>Minimum Requirements:</w:t>
            </w:r>
            <w:r>
              <w:rPr>
                <w:rFonts w:ascii="Times New Roman" w:hAnsi="Times New Roman" w:cs="Times New Roman" w:eastAsia="Times New Roman"/>
              </w:rPr>
              <w:t xml:space="preserve"> Candidates that do not meet or exceed the </w:t>
            </w:r>
            <w:r>
              <w:rPr>
                <w:rFonts w:ascii="Times New Roman" w:hAnsi="Times New Roman" w:cs="Times New Roman" w:eastAsia="Times New Roman"/>
                <w:rStyle w:val="Strong"/>
              </w:rPr>
              <w:t>minimum</w:t>
            </w:r>
            <w:r>
              <w:rPr>
                <w:rFonts w:ascii="Times New Roman" w:hAnsi="Times New Roman" w:cs="Times New Roman" w:eastAsia="Times New Roman"/>
              </w:rPr>
              <w:t xml:space="preserve"> stated requirements (skills/experience) will be displayed to customers but may not be chosen for this opportunity.</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Actual</w:t>
              <w:br/>
              <w:t>Years</w:t>
              <w:br/>
              <w:t>Experience</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Years</w:t>
              <w:br/>
              <w:t>Experience</w:t>
              <w:br/>
              <w:t>Needed</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br/>
              <w:t>Preferred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Skills/Experience</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7</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in program coordination, stakeholder communications, change management support, training logistics, or a directly related field.</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7</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managing structured activities across multiple concurrent workstreams and a large, diverse stakeholder population, including tracking participation or engagement data, producing status reports, coordinating schedules and communications.</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5</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coordinating user participation/communications for large-scale IT implementations, e.g., outreach to diverse stakeholders, maintain contact logs, drafting/distributing communications, FAQs, and talking points on behalf of a program.</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5</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Extensive experience coordinating User Acceptance Testing (UAT), Train-the-Trainer (TTT), and End User Training (EUT) logistics for major system implementations, including scheduling, participant communications, and participation tracking.</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5</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tracking/analyzing user readiness inputs, participation data, and escalation topics across a large population; identifying, documenting, escalating OCM risks/issues to program mgmt., and creating summary reports.</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5</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maintaining coordination artifacts including communication logs, agency contact directories, participation trackers, and readiness reporting inputs in support of a OCM team.</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5</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supporting large-scale technology implementations or enterprise system transitions in a coordination or liaison role.</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5</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Texas public sector experience strongly preferred.</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5</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Functional experience with CGI Advantage software, or equivalent application.</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5</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with CPA’s legacy Statewide Financial Systems production support activities</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2</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Working experience within a structured OCM framework (Prosci ADKAR, ACMP CCMP, or equivalent) as directed by a lead practitioner.</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2</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widowControl w:val="false"/>
              <w:suppressLineNumbers/>
              <w:bidi w:val="0"/>
              <w:jc w:val="left"/>
              <w:rPr>
                <w:rFonts w:ascii="Times New Roman" w:hAnsi="Times New Roman" w:cs="Times New Roman" w:eastAsia="Times New Roman"/>
              </w:rPr>
            </w:pPr>
            <w:r>
              <w:rPr>
                <w:rFonts w:ascii="Times New Roman" w:hAnsi="Times New Roman" w:cs="Times New Roman" w:eastAsia="Times New Roman"/>
              </w:rPr>
              <w:t>Prosci certification, Certified Change Management Professional (CCMP), or Change Management Advanced Practitioner (CMAP) credential.</w:t>
            </w:r>
          </w:p>
        </w:tc>
      </w:tr>
    </w:tbl>
    <w:p/>
    <w:p>
      <w:pPr>
        <w:pStyle w:val="BodyText"/>
        <w:pageBreakBefore/>
        <w:bidi w:val="0"/>
        <w:spacing w:before="0" w:after="0"/>
        <w:ind w:hanging="0" w:left="0" w:right="0"/>
        <w:jc w:val="center"/>
        <w:rPr>
          <w:rFonts w:ascii="Times New Roman" w:hAnsi="Times New Roman" w:cs="Times New Roman" w:eastAsia="Times New Roman"/>
        </w:rPr>
      </w:pPr>
      <w:r>
        <w:rPr>
          <w:rFonts w:ascii="Times New Roman" w:hAnsi="Times New Roman" w:cs="Times New Roman" w:eastAsia="Times New Roman"/>
          <w:rStyle w:val="Strong"/>
        </w:rPr>
        <w:t>CANDIDATE ACKNOWLEDGEMENT</w:t>
      </w:r>
    </w:p>
    <w:p/>
    <w:tbl>
      <w:tblPr>
        <w:tblW w:w="4500" w:type="pct"/>
        <w:jc w:val="left"/>
        <w:tblLayout w:type="fixed"/>
        <w:tblCellMar>
          <w:top w:w="28" w:type="dxa"/>
          <w:left w:w="28" w:type="dxa"/>
          <w:bottom w:w="28" w:type="dxa"/>
          <w:right w:w="28" w:type="dxa"/>
        </w:tblCellMar>
      </w:tblPr>
      <w:tblGrid>
        <w:gridCol w:w="3232"/>
        <w:gridCol w:w="5952"/>
      </w:tblGrid>
      <w:tr>
        <w:trPr/>
        <w:tc>
          <w:tcPr>
            <w:tcW w:w="323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RFO: 445 Solicitation Number: 304FM202710</w:t>
            </w:r>
          </w:p>
        </w:tc>
        <w:tc>
          <w:tcPr>
            <w:tcW w:w="595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Title/Level: Change Management Manager/Organizational Change Management (OCM) Specialist</w:t>
            </w:r>
          </w:p>
        </w:tc>
      </w:tr>
      <w:tr>
        <w:trPr/>
        <w:tc>
          <w:tcPr>
            <w:tcW w:w="323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Candidate Name:</w:t>
            </w:r>
          </w:p>
        </w:tc>
        <w:tc>
          <w:tcPr>
            <w:tcW w:w="5952" w:type="dxa"/>
            <w:tcBorders>
              <w:top w:val="single" w:sz="2" w:space="0" w:color="000000"/>
              <w:left w:val="single" w:sz="2" w:space="0" w:color="000000"/>
              <w:bottom w:val="single" w:sz="2" w:space="0" w:color="000000"/>
              <w:right w:val="single" w:sz="2" w:space="0" w:color="000000"/>
            </w:tcBorders>
            <w:vAlign w:val="center"/>
          </w:tcPr>
          <w:p>
            <w:pPr>
              <w:pStyle w:val="TableContents"/>
              <w:widowControl w:val="false"/>
              <w:suppressLineNumbers/>
              <w:bidi w:val="0"/>
              <w:jc w:val="left"/>
              <w:rPr>
                <w:rFonts w:ascii="Times New Roman" w:hAnsi="Times New Roman" w:cs="Times New Roman" w:eastAsia="Times New Roman"/>
              </w:rPr>
            </w:pPr>
            <w:r>
              <w:rPr>
                <w:rFonts w:ascii="Times New Roman" w:hAnsi="Times New Roman" w:cs="Times New Roman" w:eastAsia="Times New Roman"/>
              </w:rPr>
              <w:t>Category: Information Technology Services Management (ITSM Operations)</w:t>
            </w:r>
          </w:p>
        </w:tc>
      </w:tr>
    </w:tbl>
    <w:p/>
    <w:tbl>
      <w:tblPr>
        <w:tblW w:w="10205" w:type="dxa"/>
        <w:jc w:val="left"/>
        <w:tblLayout w:type="fixed"/>
        <w:tblCellMar>
          <w:top w:w="28" w:type="dxa"/>
          <w:left w:w="28" w:type="dxa"/>
          <w:bottom w:w="28" w:type="dxa"/>
          <w:right w:w="28" w:type="dxa"/>
        </w:tblCellMar>
      </w:tblPr>
      <w:tblGrid>
        <w:gridCol w:w="9360"/>
      </w:tblGrid>
      <w:tr>
        <w:trPr/>
        <w:tc>
          <w:tcPr>
            <w:tcW w:w="9360" w:type="dxa"/>
            <w:gridSpan w:val="2"/>
            <w:tcBorders/>
            <w:vAlign w:val="center"/>
          </w:tcPr>
          <w:p>
            <w:pPr>
              <w:pStyle w:val="TableContents"/>
              <w:widowControl w:val="false"/>
              <w:suppressLineNumbers/>
              <w:bidi w:val="0"/>
              <w:jc w:val="left"/>
              <w:rPr>
                <w:rFonts w:ascii="Times New Roman" w:hAnsi="Times New Roman" w:cs="Times New Roman" w:eastAsia="Times New Roman"/>
              </w:rPr>
            </w:pPr>
            <w:r>
              <w:rPr>
                <w:rFonts w:ascii="Times New Roman" w:hAnsi="Times New Roman" w:cs="Times New Roman" w:eastAsia="Times New Roman"/>
              </w:rPr>
              <w:t>I hereby authorize . to submit my resume in response to the temporary staffing Solicitation 304FM202710 for Texas Comptroller of Public Accounts.</w:t>
              <w:br/>
              <w:br/>
              <w:t>I understand that submission of my resume by multiple vendors may result in my disqualification from this opportunity. Customers reserve the right to hire a candidate submitted by multiple vendors.</w:t>
              <w:br/>
              <w:br/>
              <w:br/>
              <w:t>Worker signature:  _______________________________</w:t>
              <w:br/>
              <w:br/>
              <w:br/>
              <w:t>Date:   _______________________</w:t>
            </w:r>
            <w:r>
              <w:rPr>
                <w:rFonts w:ascii="Times New Roman" w:hAnsi="Times New Roman" w:cs="Times New Roman" w:eastAsia="Times New Roman"/>
                <w:rStyle w:val="Strong"/>
              </w:rPr>
            </w:r>
            <w:r>
              <w:rPr>
                <w:rFonts w:ascii="Times New Roman" w:hAnsi="Times New Roman" w:cs="Times New Roman" w:eastAsia="Times New Roman"/>
              </w:rPr>
            </w:r>
            <w:r>
              <w:rPr>
                <w:rFonts w:ascii="Times New Roman" w:hAnsi="Times New Roman" w:cs="Times New Roman" w:eastAsia="Times New Roman"/>
                <w:rStyle w:val="Strong"/>
              </w:rPr>
            </w:r>
            <w:r>
              <w:rPr>
                <w:rFonts w:ascii="Times New Roman" w:hAnsi="Times New Roman" w:cs="Times New Roman" w:eastAsia="Times New Roman"/>
              </w:rPr>
            </w:r>
          </w:p>
        </w:tc>
      </w:tr>
    </w:tbl>
    <w:p>
      <w:pPr>
        <w:pStyle w:val="BodyText"/>
        <w:bidi w:val="0"/>
        <w:spacing w:before="0" w:after="140"/>
        <w:jc w:val="left"/>
        <w:rPr>
          <w:rFonts w:ascii="Times New Roman" w:hAnsi="Times New Roman" w:cs="Times New Roman" w:eastAsia="Times New Roman"/>
        </w:rPr>
      </w:pPr>
      <w:r>
        <w:rPr>
          <w:rFonts w:ascii="Times New Roman" w:hAnsi="Times New Roman" w:cs="Times New Roman" w:eastAsia="Times New Roman"/>
        </w:rPr>
      </w:r>
    </w:p>
    <w:sectPr>
      <w:type w:val="nextPage"/>
      <w:pgSz w:w="12240" w:h="15840"/>
      <w:pgMar w:left="1440" w:right="144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DejaVu Serif">
    <w:charset w:val="01"/>
    <w:family w:val="roman"/>
    <w:pitch w:val="variable"/>
  </w:font>
  <w:font w:name="OpenSymbol">
    <w:altName w:val="Arial Unicode MS"/>
    <w:charset w:val="02"/>
    <w:family w:val="auto"/>
    <w:pitch w:val="default"/>
  </w:font>
  <w:font w:name="DejaVu Sans">
    <w:charset w:val="01"/>
    <w:family w:val="swiss"/>
    <w:pitch w:val="variable"/>
  </w:font>
  <w:font w:name="Symbol">
    <w:charset w:val="01"/>
    <w:family w:val="auto"/>
    <w:pitch w:val="default"/>
  </w:font>
  <w:font w:name="Arial">
    <w:altName w:val="Helvetica"/>
    <w:charset w:val="01"/>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
    <w:lvl w:ilvl="0">
      <w:start w:val="1"/>
      <w:numFmt w:val="decimal"/>
      <w:lvlText w:val="%1."/>
      <w:lvlJc w:val="left"/>
      <w:pPr>
        <w:tabs>
          <w:tab w:val="num" w:pos="709"/>
        </w:tabs>
        <w:ind w:left="709" w:hanging="283"/>
      </w:pPr>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5">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DejaVu Serif" w:hAnsi="DejaVu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character" w:styleId="Strong">
    <w:name w:val="Strong"/>
    <w:qFormat/>
    <w:rPr>
      <w:rFonts w:ascii="Times New Roman" w:hAnsi="Times New Roman" w:cs="Times New Roman" w:eastAsia="Times New Roman"/>
      <w:b/>
      <w:bCs/>
    </w:rPr>
  </w:style>
  <w:style w:type="character" w:styleId="Hyperlink">
    <w:name w:val="Hyperlink"/>
    <w:rPr>
      <w:rFonts w:ascii="Times New Roman" w:hAnsi="Times New Roman" w:cs="Times New Roman" w:eastAsia="Times New Roman"/>
      <w:color w:val="000080"/>
      <w:u w:val="single"/>
    </w:rPr>
  </w:style>
  <w:style w:type="character" w:styleId="NumberingSymbols">
    <w:name w:val="Numbering Symbols"/>
    <w:qFormat/>
    <w:rPr>
      <w:rFonts w:ascii="Times New Roman" w:hAnsi="Times New Roman" w:cs="Times New Roman" w:eastAsia="Times New Roman"/>
    </w:rPr>
  </w:style>
  <w:style w:type="character" w:styleId="Bullets">
    <w:name w:val="Bullets"/>
    <w:qFormat/>
    <w:rPr>
      <w:rFonts w:ascii="Times New Roman" w:hAnsi="Times New Roman" w:eastAsia="Times New Roman" w:cs="Times New Roman"/>
    </w:rPr>
  </w:style>
  <w:style w:type="paragraph" w:styleId="Heading">
    <w:name w:val="Heading"/>
    <w:basedOn w:val="Normal"/>
    <w:next w:val="BodyText"/>
    <w:qFormat/>
    <w:pPr>
      <w:keepNext w:val="true"/>
      <w:spacing w:before="240" w:after="120"/>
    </w:pPr>
    <w:rPr>
      <w:rFonts w:ascii="Times New Roman" w:hAnsi="Times New Roman" w:eastAsia="Times New Roman" w:cs="Times New Roman"/>
      <w:sz w:val="28"/>
      <w:szCs w:val="28"/>
    </w:rPr>
  </w:style>
  <w:style w:type="paragraph" w:styleId="BodyText">
    <w:name w:val="Body Text"/>
    <w:basedOn w:val="Normal"/>
    <w:pPr>
      <w:spacing w:lineRule="auto" w:line="276" w:before="0" w:after="140"/>
    </w:pPr>
    <w:rPr>
      <w:rFonts w:ascii="Times New Roman" w:hAnsi="Times New Roman" w:cs="Times New Roman" w:eastAsia="Times New Roman"/>
    </w:rPr>
  </w:style>
  <w:style w:type="paragraph" w:styleId="List">
    <w:name w:val="List"/>
    <w:basedOn w:val="BodyText"/>
    <w:pPr/>
    <w:rPr>
      <w:rFonts w:ascii="Times New Roman" w:hAnsi="Times New Roman" w:cs="Times New Roman" w:eastAsia="Times New Roman"/>
    </w:rPr>
  </w:style>
  <w:style w:type="paragraph" w:styleId="Caption">
    <w:name w:val="caption"/>
    <w:basedOn w:val="Normal"/>
    <w:qFormat/>
    <w:pPr>
      <w:suppressLineNumbers/>
      <w:spacing w:before="120" w:after="120"/>
    </w:pPr>
    <w:rPr>
      <w:rFonts w:ascii="Times New Roman" w:hAnsi="Times New Roman" w:cs="Times New Roman" w:eastAsia="Times New Roman"/>
      <w:i/>
      <w:iCs/>
      <w:sz w:val="24"/>
      <w:szCs w:val="24"/>
    </w:rPr>
  </w:style>
  <w:style w:type="paragraph" w:styleId="Index">
    <w:name w:val="Index"/>
    <w:basedOn w:val="Normal"/>
    <w:qFormat/>
    <w:pPr>
      <w:suppressLineNumbers/>
    </w:pPr>
    <w:rPr>
      <w:rFonts w:ascii="Times New Roman" w:hAnsi="Times New Roman" w:cs="Times New Roman" w:eastAsia="Times New Roman"/>
    </w:rPr>
  </w:style>
  <w:style w:type="paragraph" w:styleId="TableContents">
    <w:name w:val="Table Contents"/>
    <w:basedOn w:val="Normal"/>
    <w:qFormat/>
    <w:pPr>
      <w:widowControl w:val="false"/>
      <w:suppressLineNumbers/>
    </w:pPr>
    <w:rPr>
      <w:rFonts w:ascii="Times New Roman" w:hAnsi="Times New Roman" w:cs="Times New Roman" w:eastAsia="Times New Roman"/>
    </w:rPr>
  </w:style>
  <w:style w:type="paragraph" w:styleId="TableHeading">
    <w:name w:val="Table Heading"/>
    <w:basedOn w:val="TableContents"/>
    <w:qFormat/>
    <w:pPr>
      <w:suppressLineNumbers/>
      <w:jc w:val="center"/>
    </w:pPr>
    <w:rPr>
      <w:rFonts w:ascii="Times New Roman" w:hAnsi="Times New Roman" w:cs="Times New Roman" w:eastAsia="Times New Roman"/>
      <w:b/>
      <w:bC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fmx.cpa.texas.gov/fmx/capps/starr/" TargetMode="External"/><Relationship Id="rId3" Type="http://schemas.openxmlformats.org/officeDocument/2006/relationships/hyperlink" Target="http://www2.cpa.state.tx.us/cmbl/cmblhub.html" TargetMode="External"/><Relationship Id="rId4" Type="http://schemas.openxmlformats.org/officeDocument/2006/relationships/hyperlink" Target="https://comptroller.texas.gov/purchasing/vendor/hub" TargetMode="External"/><Relationship Id="rId5" Type="http://schemas.openxmlformats.org/officeDocument/2006/relationships/hyperlink" Target="mailto:ITSAC%20Staff%20Augmentation" TargetMode="External"/><Relationship Id="rId6" Type="http://schemas.openxmlformats.org/officeDocument/2006/relationships/hyperlink" Target="https://dir.texas.gov/"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Export HTML to Word Document with JavaScript</dc:title>
</cp:coreProperties>
</file>

<file path=docProps/custom.xml><?xml version="1.0" encoding="utf-8"?>
<Properties xmlns="http://schemas.openxmlformats.org/officeDocument/2006/custom-properties" xmlns:vt="http://schemas.openxmlformats.org/officeDocument/2006/docPropsVTypes"/>
</file>