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260"/>
        <w:gridCol w:w="3451"/>
        <w:gridCol w:w="2473"/>
      </w:tblGrid>
      <w:tr>
        <w:trPr/>
        <w:tc>
          <w:tcPr>
            <w:tcW w:w="326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304FM202708</w:t>
            </w:r>
          </w:p>
        </w:tc>
        <w:tc>
          <w:tcPr>
            <w:tcW w:w="3451"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CAPPS STARR Legacy Systems Developer</w:t>
            </w:r>
          </w:p>
        </w:tc>
        <w:tc>
          <w:tcPr>
            <w:tcW w:w="247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Software Developer 2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Software Developer 2</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Software Developer 2,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sz w:val="24"/>
        </w:rPr>
        <w:t>Background: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24"/>
        </w:rPr>
        <w:t xml:space="preserve">For information regarding CAPPS STARR, visit: </w:t>
      </w:r>
      <w:hyperlink r:id="rId2" w:tgtFrame="_blank">
        <w:r>
          <w:rPr>
            <w:rStyle w:val="Hyperlink"/>
            <w:sz w:val="24"/>
          </w:rPr>
          <w:t>https://fmx.cpa.texas.gov/fmx/capps/starr/</w:t>
        </w:r>
      </w:hyperlink>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sz w:val="22"/>
        </w:rPr>
        <w:t>Scope of Services: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both"/>
        <w:rPr>
          <w:rFonts w:ascii="Times New Roman" w:hAnsi="Times New Roman" w:cs="Times New Roman" w:eastAsia="Times New Roman"/>
        </w:rPr>
      </w:pPr>
      <w:r>
        <w:rPr>
          <w:rFonts w:ascii="Times New Roman" w:hAnsi="Times New Roman" w:cs="Times New Roman" w:eastAsia="Times New Roman"/>
          <w:rStyle w:val="Strong"/>
          <w:sz w:val="22"/>
          <w:u w:val="single"/>
        </w:rPr>
        <w:t>Services Overview</w:t>
      </w:r>
      <w:r>
        <w:rPr>
          <w:rFonts w:ascii="Times New Roman" w:hAnsi="Times New Roman" w:cs="Times New Roman" w:eastAsia="Times New Roman"/>
          <w:rStyle w:val="Strong"/>
          <w:sz w:val="22"/>
        </w:rPr>
        <w:t>.</w:t>
      </w:r>
      <w:r>
        <w:rPr>
          <w:rFonts w:ascii="Times New Roman" w:hAnsi="Times New Roman" w:cs="Times New Roman" w:eastAsia="Times New Roman"/>
        </w:rPr>
        <w:t xml:space="preserve"> </w:t>
      </w:r>
      <w:r>
        <w:rPr>
          <w:rFonts w:ascii="Times New Roman" w:hAnsi="Times New Roman" w:cs="Times New Roman" w:eastAsia="Times New Roman"/>
          <w:sz w:val="22"/>
        </w:rPr>
        <w:t>The Candidates selected and provided by the Successful Respondent(s) under a CPA contract resulting from this solicitation will be part of CPA’s Fiscal Management Statewide Fiscal Oversight team, providing support for CAPPS STARR and all ancillary systems. The selected Vendor's Candidate must be adaptable and able to learn and integrate new systems and platforms as needed.</w:t>
      </w:r>
    </w:p>
    <w:p>
      <w:pPr>
        <w:pStyle w:val="BodyText"/>
        <w:bidi w:val="0"/>
        <w:ind w:hanging="0" w:left="300" w:right="0"/>
        <w:jc w:val="both"/>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22"/>
        </w:rPr>
        <w:t xml:space="preserve">For information regarding CAPPS STARR, visit: </w:t>
      </w:r>
      <w:hyperlink r:id="rId3" w:tgtFrame="_blank">
        <w:r>
          <w:rPr>
            <w:rStyle w:val="Hyperlink"/>
            <w:sz w:val="22"/>
          </w:rPr>
          <w:t>https://fmx.cpa.texas.gov/fmx/capps/starr/</w:t>
        </w:r>
      </w:hyperlink>
      <w:r>
        <w:rPr>
          <w:rFonts w:ascii="Times New Roman" w:hAnsi="Times New Roman" w:cs="Times New Roman" w:eastAsia="Times New Roman"/>
          <w:sz w:val="22"/>
        </w:rPr>
        <w:t>.</w:t>
      </w:r>
    </w:p>
    <w:p>
      <w:pPr>
        <w:pStyle w:val="BodyText"/>
        <w:bidi w:val="0"/>
        <w:ind w:hanging="0" w:left="300" w:right="0"/>
        <w:jc w:val="both"/>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both"/>
        <w:rPr>
          <w:rFonts w:ascii="Times New Roman" w:hAnsi="Times New Roman" w:cs="Times New Roman" w:eastAsia="Times New Roman"/>
        </w:rPr>
      </w:pPr>
      <w:r>
        <w:rPr>
          <w:rFonts w:ascii="Times New Roman" w:hAnsi="Times New Roman" w:cs="Times New Roman" w:eastAsia="Times New Roman"/>
          <w:rStyle w:val="Strong"/>
          <w:u w:val="single"/>
        </w:rPr>
        <w:t>Position Requirements</w:t>
      </w:r>
      <w:r>
        <w:rPr>
          <w:rFonts w:ascii="Times New Roman" w:hAnsi="Times New Roman" w:cs="Times New Roman" w:eastAsia="Times New Roman"/>
          <w:rStyle w:val="Strong"/>
        </w:rPr>
        <w:t>.</w:t>
      </w:r>
      <w:r>
        <w:rPr>
          <w:rFonts w:ascii="Times New Roman" w:hAnsi="Times New Roman" w:cs="Times New Roman" w:eastAsia="Times New Roman"/>
        </w:rPr>
        <w:t> The CPA Work includes, but is not limited to, the following:</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Performing highly advanced software development work in support of the CAPPS STARR project </w:t>
      </w:r>
      <w:r>
        <w:rPr>
          <w:rFonts w:ascii="Times New Roman" w:hAnsi="Times New Roman" w:cs="Times New Roman" w:eastAsia="Times New Roman"/>
          <w:sz w:val="21"/>
        </w:rPr>
        <w:t xml:space="preserve">and all ancillary systems, which includes CPA's legacy mainframe applications (e.g., USAS, SPA, etc.). The Candidate must be able to perform the following, as applicable.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code requested changes in accordance with standards, guidelines and design documents provided by CPA</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coordinate the testing, debugging and preparing test data, and interact with technical and non- technical staff in the coordination of changes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deliver tested, production-ready software solutions that meet strict availability requirements in a large-scale enterprise environment.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rPr>
        <w:t>Performing advanced software analysis/programming tasks such as: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Participating in all phases of SDLC, including design, software development and code review.</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Performing extensive code reviews and analysis.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Writing reports on code analysis to determine if industry standards and best practices are being followed; provide analysis to address found short comings.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t>
      </w:r>
      <w:r>
        <w:rPr>
          <w:rFonts w:ascii="Times New Roman" w:hAnsi="Times New Roman" w:cs="Times New Roman" w:eastAsia="Times New Roman"/>
        </w:rPr>
        <w:t>      Providing guidance and knowledge sharing to existing development staff.</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Providing support to an on-call programmer, as required.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Providing application decommissioning support, as required.</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Providing consultation on CAPPS STARR project matters as needed, including but not limited to legacy system interface questions (e.g., SPRS interfaces), legacy data integration issues, and other areas where the Candidate’s expertise in CPA’s legacy mainframe applications and statewide financial systems is relevant to the project.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Performing other related Work as assigned.</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676"/>
        <w:gridCol w:w="6643"/>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making code changes in accordance with standards, guidelines, and design documents provided.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coordinating the testing, debugging and preparing of test data and interacting with technical and non-technical staff in the coordination of changes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Professional experience in software development building production software systems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IBM Enterprise COBOL for z/OS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IBM DB2 for z/OS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MVS/JCL</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data integration and data quality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Software AG's NATURAL</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highly complex application security requirements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any of the Texas CPA Statewide Financial Systems: USAS, SPA, TINS, HRIS, SPRS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of Texas Statewide systems and the CAPPS program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CICS Web Services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CONTROL-M for z/OS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Computer Associates' product Endevor for COBOL</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Public sector experience (Federal, State or Local Government)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Proficient with the Microsoft Office products, including Outlook, TEAMS, Microsoft Project, Word, Visio, Excel and PowerPoint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implementing secure RESTful web services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 code reviews and in-depth code analysis • completing system documentation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Jira</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Confluence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building Microservices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Agile teams that have iteratively and incrementally delivered software while practicing code review</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Java programming language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coaching, mentoring and knowledge transfer to junior level software developers and other personnel as required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Compuware ISPW</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Topaz</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IDz, Eclipse for Mainframe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67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643"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Knowledge of TeraData SQL Assistant</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07/01/2026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08/31/2027</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1920</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Texas Comptroller of Public Accounts, LBJ State Office Building, 111 E. 17th Street, Austin, Texas 78711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Comptroller of Public Accounts</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sz w:val="22"/>
        </w:rPr>
        <w:t>CANDIDATE SKILLS AND QUALIFICATIONS:</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Must be able to:</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work with Business Customers, Section Managers, Project Managers, Business Analysts and Subject Matter Experts (SMEs) in a professional and collaborative manner to define strategies, implementation approaches and provide creative solutions to complex problems.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create well-designed, documented, and tested software solutions that meet strict availability, concurrency and low latency requirements.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turn high-level requirements into a working system through iterative and incremental development.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identify and address product bugs, deficiencies, and performance bottlenecks in a timely manner.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write unit tests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develop processes and procedures for Application Services.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stay abreast of current technologies, industry standards and best practices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 xml:space="preserve">be productive working independently or in a team environment (both local and remote) with minimal supervision. </w:t>
      </w:r>
    </w:p>
    <w:p>
      <w:pPr>
        <w:pStyle w:val="BodyText"/>
        <w:bidi w:val="0"/>
        <w:ind w:hanging="0" w:left="300" w:right="0"/>
        <w:jc w:val="left"/>
        <w:rPr>
          <w:rFonts w:ascii="Times New Roman" w:hAnsi="Times New Roman" w:cs="Times New Roman" w:eastAsia="Times New Roman"/>
          <w:sz w:val="18"/>
        </w:rPr>
      </w:pPr>
      <w:r>
        <w:rPr>
          <w:rFonts w:ascii="Times New Roman" w:hAnsi="Times New Roman" w:cs="Times New Roman" w:eastAsia="Times New Roman"/>
          <w:sz w:val="18"/>
        </w:rPr>
        <w:t>Must possess: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a solid understanding of latest web technologies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strong written, verbal, and interpersonal communication skills.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strong problem-solving skills and ability to multi-task with readiness to put in extra effort when necessary</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18"/>
        </w:rPr>
        <w:t>·</w:t>
      </w:r>
      <w:r>
        <w:rPr>
          <w:rFonts w:ascii="Times New Roman" w:hAnsi="Times New Roman" w:cs="Times New Roman" w:eastAsia="Times New Roman"/>
        </w:rPr>
        <w:t>       </w:t>
      </w:r>
      <w:r>
        <w:rPr>
          <w:rFonts w:ascii="Times New Roman" w:hAnsi="Times New Roman" w:cs="Times New Roman" w:eastAsia="Times New Roman"/>
          <w:sz w:val="18"/>
        </w:rPr>
        <w:t>the willingness to learn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While working on-site at CPA's location, the selected Vendor’s Candidate will be assigned a working location and provided information regarding parking that may be available to CPA contractors.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CPA will not pay for any travel-related costs; any and all travel, per diem, parking, and/or living expenses shall be at the selected Vendor’s Candidate's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Work Hours</w:t>
      </w:r>
      <w:r>
        <w:rPr>
          <w:rFonts w:ascii="Times New Roman" w:hAnsi="Times New Roman" w:cs="Times New Roman" w:eastAsia="Times New Roman"/>
          <w:rStyle w:val="Strong"/>
        </w:rPr>
        <w:t>.</w:t>
      </w:r>
      <w:r>
        <w:rPr>
          <w:rFonts w:ascii="Times New Roman" w:hAnsi="Times New Roman" w:cs="Times New Roman" w:eastAsia="Times New Roman"/>
        </w:rPr>
        <w:t> CPA’s standard hours of operation are 8:00 a.m. to 5:00 p.m. CT, Monday through Friday. The current CPA workload estimates indicate that approximately one-hundred sixty (160) hours per month shall be required from each of the awarded Vendor's Candidate(s); the number of hours may be revised by CPA based on the negotiated and awarded hourly rate. The workload estimate is based on an eight (8) hour workday and a five (5) day work week. However, CPA anticipates that the Services to be provided by Candidate(s) will be conducted during any and/or all of the following, as requested by CPA: CPA's standard hours of operation, before-hours, after-hours, weekends, and holidays. The Candidate's work schedule must be approved in writing by the CPA Supervising Manager.</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Support for Vendor Invoicing</w:t>
      </w:r>
      <w:r>
        <w:rPr>
          <w:rFonts w:ascii="Times New Roman" w:hAnsi="Times New Roman" w:cs="Times New Roman" w:eastAsia="Times New Roman"/>
          <w:rStyle w:val="Strong"/>
        </w:rPr>
        <w:t>.</w:t>
      </w:r>
      <w:r>
        <w:rPr>
          <w:rFonts w:ascii="Times New Roman" w:hAnsi="Times New Roman" w:cs="Times New Roman" w:eastAsia="Times New Roman"/>
        </w:rPr>
        <w:t> On a weekly basis, each of Vendor’s personnel shall use CPA’s timekeeping system to record hours worked in providing Services for approval by the CPA Supervising Manager. The CPA Supervising Manager will provide its approval via CPA’s timekeeping system; a manual CPA signature is not required; also, CPA is not required to manually sign or approve any Vendor-provided timesheet. Vendor’s personnel shall provide its CPA approved timesheet reports to the Vendor to support the monthly invoice to CPA. Vendor shall submit the invoice to CPA, in accordance with the CPA PO, no later than the 15th calendar day of the month to support payment processing. Upon the completion of the Services under each Contract Term, Vendor shall confirm all invoices have been provided to CPA no later than October 31st.</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Selection and Award Requirements</w:t>
      </w:r>
      <w:r>
        <w:rPr>
          <w:rFonts w:ascii="Times New Roman" w:hAnsi="Times New Roman" w:cs="Times New Roman" w:eastAsia="Times New Roman"/>
          <w:rStyle w:val="Strong"/>
        </w:rPr>
        <w:t>.</w:t>
      </w:r>
      <w:r>
        <w:rPr>
          <w:rFonts w:ascii="Times New Roman" w:hAnsi="Times New Roman" w:cs="Times New Roman" w:eastAsia="Times New Roman"/>
        </w:rPr>
        <w:t> As part of the Vendor’s Offer, and upon the request of CPA to support the interview process and/or selection of Candidate(s), Vendor shall provide the following, at a minimum: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 Picture ID (Government). Vendor must provide a copy of the proposed Candidate's state Driver’s License/ID Card or US Government photo identification that indicates their full legal name.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(2) Proposed Work Location and Schedule. Vendor must provide the proposed Candidate's preferred work location and work schedule. If the proposed work location is remote, the Vendor must provide the City and State of the proposed Candidate's primary remote location.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(3) Disclosure of Separate Contract. In accordance with DIR’s ITSAC contract, Vendor must disclose whether the proposed Candidate is currently engaged in a separate contract to provide services of any kind to CPA and/or a different customer during the CPA Contract Term under the CPA contract resulting from this solicitation.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Selection Interview Process</w:t>
      </w:r>
      <w:r>
        <w:rPr>
          <w:rFonts w:ascii="Times New Roman" w:hAnsi="Times New Roman" w:cs="Times New Roman" w:eastAsia="Times New Roman"/>
          <w:rStyle w:val="Strong"/>
        </w:rPr>
        <w:t>. </w:t>
      </w:r>
      <w:r>
        <w:rPr>
          <w:rFonts w:ascii="Times New Roman" w:hAnsi="Times New Roman" w:cs="Times New Roman" w:eastAsia="Times New Roman"/>
        </w:rPr>
        <w:t>Upon the request of CPA, as applicable, Vendor shall be responsible for coordinating the interview between CPA and Vendor’s selected Candidate at a mutually agreeable date and time. At CPA's discretion, the interview, if any, may be conducted via teleconference with cameras on (e.g., Microsoft Teams) or on-site at CPA’s designated location.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Onboarding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To support the onboarding of the Vendor’s selected Candidate, the following at a minimum applies: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(1) Background Check, Prior to Award. In accordance with the provision in CPA’s Additional T&amp;Cs (Attachment A), the Vendor must attest that the background check has been performed and passed for the selected Candidate, and must disclose any felonies. The criminal background check shall be conducted at the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(2) Assignment of CPA Equipment, Upon Commencement of Services. Unless otherwise mutually agreed to between CPA and Vendor, upon commencement of the Services, regardless of the primary work location that may be agreed to between CPA and Vendor, the selected Vendor’s Candidate is required to come in person to CPA's designated location to meet with CPA's Supervising Manager and obtain the CPA equipment to perform the Services. As applicable, the awarded Vendor shall be fully responsible for all expenses related to the onboarding of the selected Vendor’s Candidate, which includes but is not limited to any and all travel, per diem, parking, shipping of CPA equipment, and/or living expenses.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Strong"/>
          <w:u w:val="single"/>
        </w:rPr>
        <w:t>Offboarding of Selected Candidate</w:t>
      </w:r>
      <w:r>
        <w:rPr>
          <w:rFonts w:ascii="Times New Roman" w:hAnsi="Times New Roman" w:cs="Times New Roman" w:eastAsia="Times New Roman"/>
          <w:rStyle w:val="Strong"/>
        </w:rPr>
        <w:t>.</w:t>
      </w:r>
      <w:r>
        <w:rPr>
          <w:rFonts w:ascii="Times New Roman" w:hAnsi="Times New Roman" w:cs="Times New Roman" w:eastAsia="Times New Roman"/>
        </w:rPr>
        <w:t xml:space="preserve"> Upon the resignation, expiration, or termination of the Services provided by the selected Vendor’s Candidate, Vendor shall be fully responsible for providing notification to CPA’s Contract Manager (capps.staff.aug@cpa.texas.gov), and shall coordinate the return of the CPA equipment with the CPA Contract Manager and/or CPA's Supervising Manager. As applicable, the awarded Vendor shall be fully responsible for all expenses related to the offboarding of the selected Vendor’s Candidate, which includes but is not limited to any and all travel, per diem, parking, shipping of CPA equipment, and/or living expenses</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304FM202708</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Software Developer 2</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4062"/>
        <w:gridCol w:w="5122"/>
      </w:tblGrid>
      <w:tr>
        <w:trPr/>
        <w:tc>
          <w:tcPr>
            <w:tcW w:w="406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304FM202708</w:t>
            </w:r>
          </w:p>
        </w:tc>
        <w:tc>
          <w:tcPr>
            <w:tcW w:w="51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Software Developer 2 </w:t>
            </w:r>
          </w:p>
        </w:tc>
      </w:tr>
      <w:tr>
        <w:trPr/>
        <w:tc>
          <w:tcPr>
            <w:tcW w:w="406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1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making code changes in accordance with standards, guidelines, and design documents provided.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coordinating the testing, debugging and preparing of test data and interacting with technical and non-technical staff in the coordination of changes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Professional experience in software development building production software systems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IBM Enterprise COBOL for z/OS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IBM DB2 for z/OS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MVS/JCL</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data integration and data quality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7</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Software AG's NATURAL</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highly complex application security requirements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3</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any of the Texas CPA Statewide Financial Systems: USAS, SPA, TINS, HRIS, SPRS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of Texas Statewide systems and the CAPPS program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CICS Web Services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CONTROL-M for z/OS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Computer Associates' product Endevor for COBOL</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Public sector experience (Federal, State or Local Government)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Proficient with the Microsoft Office products, including Outlook, TEAMS, Microsoft Project, Word, Visio, Excel and PowerPoint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implementing secure RESTful web services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5</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 code reviews and in-depth code analysis • completing system documentation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Jira</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Confluence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building Microservices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Agile teams that have iteratively and incrementally delivered software while practicing code review</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Java programming language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coaching, mentoring and knowledge transfer to junior level software developers and other personnel as required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Compuware ISPW</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Topaz</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Knowledge of IDz, Eclipse for Mainframe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1</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Knowledge of TeraData SQL Assistant</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558"/>
        <w:gridCol w:w="4626"/>
      </w:tblGrid>
      <w:tr>
        <w:trPr/>
        <w:tc>
          <w:tcPr>
            <w:tcW w:w="455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304FM202708</w:t>
            </w:r>
          </w:p>
        </w:tc>
        <w:tc>
          <w:tcPr>
            <w:tcW w:w="462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Software Developer 2</w:t>
            </w:r>
          </w:p>
        </w:tc>
      </w:tr>
      <w:tr>
        <w:trPr/>
        <w:tc>
          <w:tcPr>
            <w:tcW w:w="455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626"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304FM202708 for Texas Comptroller of Public Accounts.</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Symbol">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Strong">
    <w:name w:val="Strong"/>
    <w:qFormat/>
    <w:rPr>
      <w:rFonts w:ascii="Times New Roman" w:hAnsi="Times New Roman" w:cs="Times New Roman" w:eastAsia="Times New Roman"/>
      <w:b/>
      <w:bCs/>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character" w:styleId="Bullets">
    <w:name w:val="Bullets"/>
    <w:qFormat/>
    <w:rPr>
      <w:rFonts w:ascii="Times New Roman" w:hAnsi="Times New Roman" w:eastAsia="Times New Roman" w:cs="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mx.cpa.texas.gov/fmx/capps/starr/" TargetMode="External"/><Relationship Id="rId3" Type="http://schemas.openxmlformats.org/officeDocument/2006/relationships/hyperlink" Target="https://fmx.cpa.texas.gov/fmx/capps/starr/"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